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Case 01: the table style BoldOn (w:b on); a paragraph in Normal</w:t>
      </w:r>
    </w:p>
    <w:tbl>
      <w:tblPr>
        <w:tblStyle w:val="BoldOn"/>
        <w:tblW w:w="4513" w:type="dxa"/>
      </w:tblPr>
      <w:tblGrid>
        <w:gridCol w:w="4513"/>
      </w:tblGrid>
      <w:tr>
        <w:tc>
          <w:tcPr>
            <w:tcW w:w="4513" w:type="dxa"/>
          </w:tcPr>
          <w:p>
            <w:r>
              <w:t xml:space="preserve">in Normal</w:t>
            </w:r>
          </w:p>
        </w:tc>
      </w:tr>
    </w:tbl>
    <w:p/>
    <w:p>
      <w:r>
        <w:t xml:space="preserve">Case 02: the table style BoldOff (w:b off); a paragraph in Normal</w:t>
      </w:r>
    </w:p>
    <w:tbl>
      <w:tblPr>
        <w:tblStyle w:val="BoldOff"/>
        <w:tblW w:w="4513" w:type="dxa"/>
      </w:tblPr>
      <w:tblGrid>
        <w:gridCol w:w="4513"/>
      </w:tblGrid>
      <w:tr>
        <w:tc>
          <w:tcPr>
            <w:tcW w:w="4513" w:type="dxa"/>
          </w:tcPr>
          <w:p>
            <w:r>
              <w:t xml:space="preserve">in Normal</w:t>
            </w:r>
          </w:p>
        </w:tc>
      </w:tr>
    </w:tbl>
    <w:p/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b/>
        <w:bCs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BoldOn">
    <w:name w:val="BoldOn"/>
    <w:basedOn w:val="TableNormal"/>
    <w:rPr>
      <w:b/>
      <w:bCs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BoldOff">
    <w:name w:val="BoldOff"/>
    <w:basedOn w:val="TableNormal"/>
    <w:rPr>
      <w:b w:val="0"/>
      <w:bCs w:val="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E-table-style-toggles-defaults</dc:title>
  <dc:description>Whether a table style's bold sets the value or toggles it, with bold document defaults: a table style with w:b on and one with w:b off, the text in Normal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