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 xml:space="preserve">Case 01: the table style BoldTable (bold); paragraphs in BoldPara (bold) and in Normal</w:t>
      </w:r>
    </w:p>
    <w:tbl>
      <w:tblPr>
        <w:tblStyle w:val="BoldTable"/>
        <w:tblW w:w="9026" w:type="dxa"/>
      </w:tblPr>
      <w:tblGrid>
        <w:gridCol w:w="4513"/>
        <w:gridCol w:w="4513"/>
      </w:tblGrid>
      <w:tr>
        <w:tc>
          <w:tcPr>
            <w:tcW w:w="4513" w:type="dxa"/>
          </w:tcPr>
          <w:p>
            <w:pPr>
              <w:pStyle w:val="BoldPara"/>
            </w:pPr>
            <w:r>
              <w:t xml:space="preserve">in BoldPara</w:t>
            </w:r>
          </w:p>
        </w:tc>
        <w:tc>
          <w:tcPr>
            <w:tcW w:w="4513" w:type="dxa"/>
          </w:tcPr>
          <w:p>
            <w:r>
              <w:t xml:space="preserve">in Normal</w:t>
            </w:r>
          </w:p>
        </w:tc>
      </w:tr>
    </w:tbl>
    <w:p/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Calibri"/>
</w:fonts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en-US" w:bidi="ar-SA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widowControl/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BoldTable">
    <w:name w:val="BoldTable"/>
    <w:basedOn w:val="TableNormal"/>
    <w:rPr>
      <w:b/>
      <w:bCs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BoldPara">
    <w:name w:val="BoldPara"/>
    <w:basedOn w:val="Normal"/>
    <w:rPr>
      <w:b/>
      <w:bCs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E-table-style-toggles</dc:title>
  <dc:description>Whether a bold paragraph style toggles off the bold of a table style, with document defaults that are not bold, where setting and toggling the table style's bold give the same; E-table-style-toggles-defaults tells those two apart</dc:description>
  <dc:creator>Officewright</dc:creator>
  <cp:lastModifiedBy>Officewright</cp:lastModifiedBy>
  <dcterms:created xsi:type="dcterms:W3CDTF">2026-10-12T00:00:00Z</dcterms:created>
  <dcterms:modified xsi:type="dcterms:W3CDTF">2026-10-12T00:00:00Z</dcterms:modified>
</cp:coreProperties>
</file>