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Garamond 11 pt regular: </w:t>
      </w:r>
      <w:r>
        <w:rPr>
          <w:rFonts w:ascii="Garamond" w:hAnsi="Garamond" w:eastAsia="Garamond" w:cs="Garamond"/>
          <w:sz w:val="22"/>
          <w:szCs w:val="22"/>
        </w:rPr>
        <w:t xml:space="preserve">Hamburgefonts gjpqy</w:t>
      </w:r>
    </w:p>
    <w:p>
      <w:r>
        <w:t xml:space="preserve">Case 02: Garamond 11 pt italic: </w:t>
      </w:r>
      <w:r>
        <w:rPr>
          <w:rFonts w:ascii="Garamond" w:hAnsi="Garamond" w:eastAsia="Garamond" w:cs="Garamond"/>
          <w:i/>
          <w:iCs/>
          <w:sz w:val="22"/>
          <w:szCs w:val="22"/>
        </w:rPr>
        <w:t xml:space="preserve">Hamburgefonts gjpqy</w:t>
      </w:r>
    </w:p>
    <w:p>
      <w:r>
        <w:t xml:space="preserve">Case 03: Garamond 11 pt bold: </w:t>
      </w:r>
      <w:r>
        <w:rPr>
          <w:rFonts w:ascii="Garamond" w:hAnsi="Garamond" w:eastAsia="Garamond" w:cs="Garamond"/>
          <w:b/>
          <w:bCs/>
          <w:sz w:val="22"/>
          <w:szCs w:val="22"/>
        </w:rPr>
        <w:t xml:space="preserve">Hamburgefonts gjpqy</w:t>
      </w:r>
    </w:p>
    <w:p>
      <w:r>
        <w:t xml:space="preserve">Case 04: Garamond 11 pt bold italic: </w:t>
      </w:r>
      <w:r>
        <w:rPr>
          <w:rFonts w:ascii="Garamond" w:hAnsi="Garamond" w:eastAsia="Garamond" w:cs="Garamond"/>
          <w:b/>
          <w:bCs/>
          <w:i/>
          <w:iCs/>
          <w:sz w:val="22"/>
          <w:szCs w:val="22"/>
        </w:rPr>
        <w:t xml:space="preserve">Hamburgefonts gjpqy</w:t>
      </w:r>
    </w:p>
    <w:p>
      <w:r>
        <w:t xml:space="preserve">Case 05: Garamond 20 pt regular: </w:t>
      </w:r>
      <w:r>
        <w:rPr>
          <w:rFonts w:ascii="Garamond" w:hAnsi="Garamond" w:eastAsia="Garamond" w:cs="Garamond"/>
          <w:sz w:val="40"/>
          <w:szCs w:val="40"/>
        </w:rPr>
        <w:t xml:space="preserve">Hamburgefonts gjpqy</w:t>
      </w:r>
    </w:p>
    <w:p>
      <w:r>
        <w:t xml:space="preserve">Case 06: Garamond 20 pt italic: </w:t>
      </w:r>
      <w:r>
        <w:rPr>
          <w:rFonts w:ascii="Garamond" w:hAnsi="Garamond" w:eastAsia="Garamond" w:cs="Garamond"/>
          <w:i/>
          <w:iCs/>
          <w:sz w:val="40"/>
          <w:szCs w:val="40"/>
        </w:rPr>
        <w:t xml:space="preserve">Hamburgefonts gjpqy</w:t>
      </w:r>
    </w:p>
    <w:p>
      <w:r>
        <w:t xml:space="preserve">Case 07: Garamond 20 pt bold: </w:t>
      </w:r>
      <w:r>
        <w:rPr>
          <w:rFonts w:ascii="Garamond" w:hAnsi="Garamond" w:eastAsia="Garamond" w:cs="Garamond"/>
          <w:b/>
          <w:bCs/>
          <w:sz w:val="40"/>
          <w:szCs w:val="40"/>
        </w:rPr>
        <w:t xml:space="preserve">Hamburgefonts gjpqy</w:t>
      </w:r>
    </w:p>
    <w:p>
      <w:r>
        <w:t xml:space="preserve">Case 08: Garamond 20 pt bold italic: </w:t>
      </w:r>
      <w:r>
        <w:rPr>
          <w:rFonts w:ascii="Garamond" w:hAnsi="Garamond" w:eastAsia="Garamond" w:cs="Garamond"/>
          <w:b/>
          <w:bCs/>
          <w:i/>
          <w:iCs/>
          <w:sz w:val="40"/>
          <w:szCs w:val="40"/>
        </w:rPr>
        <w:t xml:space="preserve">Hamburgefonts gjpqy</w:t>
      </w:r>
    </w:p>
    <w:p>
      <w:r>
        <w:t xml:space="preserve">Case 09: Liberation Sans 11 pt regular: 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Hamburgefonts gjpqy</w:t>
      </w:r>
    </w:p>
    <w:p>
      <w:r>
        <w:t xml:space="preserve">Case 10: Liberation Sans 11 pt italic: </w:t>
      </w:r>
      <w:r>
        <w:rPr>
          <w:rFonts w:ascii="Liberation Sans" w:hAnsi="Liberation Sans" w:eastAsia="Liberation Sans" w:cs="Liberation Sans"/>
          <w:i/>
          <w:iCs/>
          <w:sz w:val="22"/>
          <w:szCs w:val="22"/>
        </w:rPr>
        <w:t xml:space="preserve">Hamburgefonts gjpqy</w:t>
      </w:r>
    </w:p>
    <w:p>
      <w:r>
        <w:t xml:space="preserve">Case 11: Liberation Sans 11 pt bold: </w:t>
      </w:r>
      <w:r>
        <w:rPr>
          <w:rFonts w:ascii="Liberation Sans" w:hAnsi="Liberation Sans" w:eastAsia="Liberation Sans" w:cs="Liberation Sans"/>
          <w:b/>
          <w:bCs/>
          <w:sz w:val="22"/>
          <w:szCs w:val="22"/>
        </w:rPr>
        <w:t xml:space="preserve">Hamburgefonts gjpqy</w:t>
      </w:r>
    </w:p>
    <w:p>
      <w:r>
        <w:t xml:space="preserve">Case 12: Liberation Sans 11 pt bold italic: </w:t>
      </w:r>
      <w:r>
        <w:rPr>
          <w:rFonts w:ascii="Liberation Sans" w:hAnsi="Liberation Sans" w:eastAsia="Liberation Sans" w:cs="Liberation Sans"/>
          <w:b/>
          <w:bCs/>
          <w:i/>
          <w:iCs/>
          <w:sz w:val="22"/>
          <w:szCs w:val="22"/>
        </w:rPr>
        <w:t xml:space="preserve">Hamburgefonts gjpqy</w:t>
      </w:r>
    </w:p>
    <w:p>
      <w:r>
        <w:t xml:space="preserve">Case 13: Liberation Sans 20 pt regular: </w:t>
      </w:r>
      <w:r>
        <w:rPr>
          <w:rFonts w:ascii="Liberation Sans" w:hAnsi="Liberation Sans" w:eastAsia="Liberation Sans" w:cs="Liberation Sans"/>
          <w:sz w:val="40"/>
          <w:szCs w:val="40"/>
        </w:rPr>
        <w:t xml:space="preserve">Hamburgefonts gjpqy</w:t>
      </w:r>
    </w:p>
    <w:p>
      <w:r>
        <w:t xml:space="preserve">Case 14: Liberation Sans 20 pt italic: </w:t>
      </w:r>
      <w:r>
        <w:rPr>
          <w:rFonts w:ascii="Liberation Sans" w:hAnsi="Liberation Sans" w:eastAsia="Liberation Sans" w:cs="Liberation Sans"/>
          <w:i/>
          <w:iCs/>
          <w:sz w:val="40"/>
          <w:szCs w:val="40"/>
        </w:rPr>
        <w:t xml:space="preserve">Hamburgefonts gjpqy</w:t>
      </w:r>
    </w:p>
    <w:p>
      <w:r>
        <w:t xml:space="preserve">Case 15: Liberation Sans 20 pt bold: </w:t>
      </w:r>
      <w:r>
        <w:rPr>
          <w:rFonts w:ascii="Liberation Sans" w:hAnsi="Liberation Sans" w:eastAsia="Liberation Sans" w:cs="Liberation Sans"/>
          <w:b/>
          <w:bCs/>
          <w:sz w:val="40"/>
          <w:szCs w:val="40"/>
        </w:rPr>
        <w:t xml:space="preserve">Hamburgefonts gjpqy</w:t>
      </w:r>
    </w:p>
    <w:p>
      <w:r>
        <w:t xml:space="preserve">Case 16: Liberation Sans 20 pt bold italic: </w:t>
      </w:r>
      <w:r>
        <w:rPr>
          <w:rFonts w:ascii="Liberation Sans" w:hAnsi="Liberation Sans" w:eastAsia="Liberation Sans" w:cs="Liberation Sans"/>
          <w:b/>
          <w:bCs/>
          <w:i/>
          <w:iCs/>
          <w:sz w:val="40"/>
          <w:szCs w:val="40"/>
        </w:rPr>
        <w:t xml:space="preserve">Hamburgefonts gjpqy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Garamond"/>
  <w:font w:name="Liberation Sans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E-bold-italic-missing</dc:title>
  <dc:description>Bold italic text in a family without a Bold Italic face (#245): Garamond, installed with Regular, Italic and Bold only, and Liberation Sans, installed complete, at 11 and 20 pt in regular, italic, bold and bold italic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