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Dienstleistungsvertrag</w:t>
      </w:r>
    </w:p>
    <w:p>
      <w:pPr>
        <w:spacing w:after="80"/>
        <w:jc w:val="center"/>
      </w:pPr>
      <w:r>
        <w:t xml:space="preserve">zwischen</w:t>
      </w:r>
    </w:p>
    <w:p>
      <w:pPr>
        <w:spacing w:after="40"/>
        <w:jc w:val="center"/>
      </w:pPr>
      <w:r>
        <w:t xml:space="preserve">Bäckerei Sonnenkorn GmbH, Marktstraße 3, 00000 Musterstadt</w:t>
      </w:r>
    </w:p>
    <w:p>
      <w:pPr>
        <w:spacing w:after="120"/>
        <w:jc w:val="center"/>
      </w:pPr>
      <w:r>
        <w:rPr>
          <w:i/>
          <w:iCs/>
        </w:rPr>
        <w:t xml:space="preserve">– nachfolgend „Auftraggeber“ genannt –</w:t>
      </w:r>
    </w:p>
    <w:p>
      <w:pPr>
        <w:spacing w:after="80"/>
        <w:jc w:val="center"/>
      </w:pPr>
      <w:r>
        <w:t xml:space="preserve">und</w:t>
      </w:r>
    </w:p>
    <w:p>
      <w:pPr>
        <w:spacing w:after="40"/>
        <w:jc w:val="center"/>
      </w:pPr>
      <w:r>
        <w:t xml:space="preserve">Pixelwerk Studio UG (haftungsbeschränkt), Hafenweg 12, 00000 Beispielhausen</w:t>
      </w:r>
    </w:p>
    <w:p>
      <w:pPr>
        <w:spacing w:after="240"/>
        <w:jc w:val="center"/>
      </w:pPr>
      <w:r>
        <w:rPr>
          <w:i/>
          <w:iCs/>
        </w:rPr>
        <w:t xml:space="preserve">– nachfolgend „Auftragnehmer“ genannt –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Vertragsgegenstand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Auftragnehmer übernimmt für den Auftraggeber die laufende Pflege und Weiterentwicklung der Website www.beispiel-baeckerei.example sowie des zugehörigen Online-Bestellsystems.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Art und Umfang der Leistungen ergeben sich aus der Leistungsbeschreibung in Anlage 1.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Vergütung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Auftraggeber zahlt eine monatliche Pauschale von 1.450,00 € zuzüglich der gesetzlichen Umsatzsteuer.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Leistungen über den vereinbarten Umfang hinaus werden nach Aufwand mit 95,00 € je Stunde abgerechnet.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Rechnungen sind innerhalb von 14 Tagen nach Zugang ohne Abzug zu zahlen.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Mitwirkungspflichten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Auftraggeber stellt Texte, Bilder und Preislisten rechtzeitig in digitaler Form zur Verfügung.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Er benennt einen Ansprechpartner, der Entscheidungen innerhalb von drei Werktagen herbeiführen kann.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Haftung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Auftragnehmer haftet unbeschränkt bei Vorsatz und grober Fahrlässigkeit. Im Übrigen ist die Haftung auf den vorhersehbaren, vertragstypischen Schaden begrenzt.</w:t>
      </w:r>
      <w:r>
        <w:rPr>
          <w:rStyle w:val="FootnoteReference"/>
        </w:rPr>
        <w:footnoteReference w:id="1"/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Laufzeit und Kündigung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Vertrag beginnt am 1. April 2026 und läuft auf unbestimmte Zeit.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Er kann von beiden Seiten mit einer Frist von drei Monaten zum Quartalsende gekündigt werden.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Schlussbestimmungen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Änderungen und Ergänzungen dieses Vertrages bedürfen der Textform.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Sollte eine Bestimmung unwirksam sein, bleibt die Wirksamkeit der übrigen Bestimmungen unberührt.</w:t>
      </w:r>
    </w:p>
    <w:p>
      <w:pPr>
        <w:spacing w:before="480"/>
      </w:pPr>
      <w:r>
        <w:t xml:space="preserve">Musterstadt, den 12. März 2026</w:t>
      </w:r>
    </w:p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Auftraggeber</w:t>
            </w:r>
          </w:p>
        </w:tc>
        <w:tc>
          <w:tcPr>
            <w:tcW w:w="4678" w:type="dxa"/>
          </w:tcPr>
          <w:p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Auftragnehmer</w:t>
            </w:r>
          </w:p>
        </w:tc>
      </w:tr>
    </w:tbl>
    <w:sectPr>
      <w:footerReference w:type="default" r:id="rId5"/>
      <w:pgSz w:w="11906" w:h="16838"/>
      <w:pgMar w:top="1417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Die gesetzlichen Haftungsregeln für Schäden aus der Verletzung des Lebens, des Körpers oder der Gesundheit bleiben unberührt.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abstractNum w:abstractNumId="5">
    <w:nsid w:val="4A3B2C15"/>
    <w:multiLevelType w:val="hybridMultilevel"/>
    <w:lvl w:ilvl="0">
      <w:start w:val="1"/>
      <w:numFmt w:val="decimal"/>
      <w:suff w:val="space"/>
      <w:lvlText w:val="§ %1"/>
      <w:lvlJc w:val="left"/>
      <w:pPr>
        <w:ind w:left="0" w:hanging="0"/>
      </w:pPr>
      <w:rPr>
        <w:b/>
        <w:bCs/>
      </w:rPr>
    </w:lvl>
    <w:lvl w:ilvl="1">
      <w:start w:val="1"/>
      <w:numFmt w:val="decimal"/>
      <w:lvlText w:val="(%2)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22"/>
        <w:szCs w:val="22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contract-de</dc:title>
  <dc:description>German services contract: centred parties, headings numbered § 1 with a space suffix, paragraphs numbered (1), justified with line spacing 1.15, a footnote, signature lines, Seite X von Y footer; Arial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