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ДОГОВОР ОКАЗАНИЯ УСЛУГ № 08-2026</w:t>
      </w:r>
    </w:p>
    <w:p>
      <w:pPr>
        <w:tabs>
          <w:tab w:val="right" w:pos="9355"/>
        </w:tabs>
        <w:spacing w:after="200"/>
      </w:pPr>
      <w:r>
        <w:t xml:space="preserve">г. Новоград</w:t>
        <w:tab/>
        <w:t xml:space="preserve">«12» марта 2026 г.</w:t>
      </w:r>
    </w:p>
    <w:p>
      <w:pPr>
        <w:spacing w:after="120"/>
        <w:ind w:firstLine="709"/>
        <w:jc w:val="both"/>
      </w:pPr>
      <w:r>
        <w:t xml:space="preserve">Общество с ограниченной ответственностью «Северный ветер» (далее – Заказчик) в лице генерального директора, действующего на основании Устава, с одной стороны, и Общество с ограниченной ответственностью «Альфа Сервис» (далее – Исполнитель) в лице директора, действующего на основании Устава, с другой стороны, заключили настоящий договор о нижеследующем: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ПРЕДМЕТ ДОГОВОРА</w:t>
      </w:r>
    </w:p>
    <w:p>
      <w:pPr>
        <w:numPr>
          <w:ilvl w:val="1"/>
          <w:numId w:val="3"/>
        </w:numPr>
        <w:spacing w:after="40"/>
        <w:jc w:val="both"/>
      </w:pPr>
      <w:r>
        <w:t xml:space="preserve">Исполнитель обязуется оказать Заказчику услуги по техническому обслуживанию инженерных систем здания по адресу: г. Новоград, ул. Лесная, д. 7, а Заказчик обязуется принять и оплатить эти услуги.</w:t>
      </w:r>
    </w:p>
    <w:p>
      <w:pPr>
        <w:numPr>
          <w:ilvl w:val="1"/>
          <w:numId w:val="3"/>
        </w:numPr>
        <w:spacing w:after="40"/>
        <w:jc w:val="both"/>
      </w:pPr>
      <w:r>
        <w:t xml:space="preserve">Перечень и периодичность работ приведены в приложении № 1, являющемся неотъемлемой частью договора.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СТОИМОСТЬ УСЛУГ И ПОРЯДОК РАСЧЁТОВ</w:t>
      </w:r>
    </w:p>
    <w:p>
      <w:pPr>
        <w:numPr>
          <w:ilvl w:val="1"/>
          <w:numId w:val="3"/>
        </w:numPr>
        <w:spacing w:after="40"/>
        <w:jc w:val="both"/>
      </w:pPr>
      <w:r>
        <w:t xml:space="preserve">Стоимость услуг составляет 96 000,00 руб. (девяносто шесть тысяч рублей 00 копеек) в месяц, НДС не облагается.</w:t>
      </w:r>
    </w:p>
    <w:p>
      <w:pPr>
        <w:numPr>
          <w:ilvl w:val="1"/>
          <w:numId w:val="3"/>
        </w:numPr>
        <w:spacing w:after="40"/>
        <w:jc w:val="both"/>
      </w:pPr>
      <w:r>
        <w:t xml:space="preserve">Оплата производится ежемесячно до 10-го числа месяца, следующего за отчётным, на основании акта оказанных услуг.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ПРАВА И ОБЯЗАННОСТИ СТОРОН</w:t>
      </w:r>
    </w:p>
    <w:p>
      <w:pPr>
        <w:numPr>
          <w:ilvl w:val="1"/>
          <w:numId w:val="3"/>
        </w:numPr>
        <w:spacing w:after="40"/>
        <w:jc w:val="both"/>
      </w:pPr>
      <w:r>
        <w:t xml:space="preserve">Исполнитель обязан оказывать услуги качественно и в сроки, установленные графиком.</w:t>
      </w:r>
    </w:p>
    <w:p>
      <w:pPr>
        <w:numPr>
          <w:ilvl w:val="1"/>
          <w:numId w:val="3"/>
        </w:numPr>
        <w:spacing w:after="40"/>
        <w:jc w:val="both"/>
      </w:pPr>
      <w:r>
        <w:t xml:space="preserve">Заказчик обязан обеспечить доступ сотрудников Исполнителя к оборудованию в рабочее время.</w:t>
      </w:r>
    </w:p>
    <w:p>
      <w:pPr>
        <w:numPr>
          <w:ilvl w:val="1"/>
          <w:numId w:val="3"/>
        </w:numPr>
        <w:spacing w:after="40"/>
        <w:jc w:val="both"/>
      </w:pPr>
      <w:r>
        <w:t xml:space="preserve">Исполнитель вправе привлекать третьих лиц, оставаясь ответственным за их действия перед Заказчиком.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ОТВЕТСТВЕННОСТЬ СТОРОН</w:t>
      </w:r>
    </w:p>
    <w:p>
      <w:pPr>
        <w:numPr>
          <w:ilvl w:val="1"/>
          <w:numId w:val="3"/>
        </w:numPr>
        <w:spacing w:after="40"/>
        <w:jc w:val="both"/>
      </w:pPr>
      <w:r>
        <w:t xml:space="preserve">За нарушение сроков оплаты Заказчик уплачивает неустойку в размере 0,1 % от суммы долга за каждый день просрочки.</w:t>
      </w:r>
    </w:p>
    <w:p>
      <w:pPr>
        <w:numPr>
          <w:ilvl w:val="1"/>
          <w:numId w:val="3"/>
        </w:numPr>
        <w:spacing w:after="40"/>
        <w:jc w:val="both"/>
      </w:pPr>
      <w:r>
        <w:t xml:space="preserve">Стороны освобождаются от ответственности при наступлении обстоятельств непреодолимой силы.</w:t>
      </w:r>
    </w:p>
    <w:p>
      <w:pPr>
        <w:keepNext/>
        <w:numPr>
          <w:ilvl w:val="0"/>
          <w:numId w:val="3"/>
        </w:numPr>
        <w:spacing w:before="160" w:after="80"/>
      </w:pPr>
      <w:r>
        <w:rPr>
          <w:b/>
          <w:bCs/>
        </w:rPr>
        <w:t xml:space="preserve">СРОК ДЕЙСТВИЯ ДОГОВОРА</w:t>
      </w:r>
    </w:p>
    <w:p>
      <w:pPr>
        <w:numPr>
          <w:ilvl w:val="1"/>
          <w:numId w:val="3"/>
        </w:numPr>
        <w:spacing w:after="40"/>
        <w:jc w:val="both"/>
      </w:pPr>
      <w:r>
        <w:t xml:space="preserve">Договор вступает в силу с момента подписания и действует до 31 декабря 2026 г.</w:t>
      </w:r>
    </w:p>
    <w:p>
      <w:pPr>
        <w:numPr>
          <w:ilvl w:val="1"/>
          <w:numId w:val="3"/>
        </w:numPr>
        <w:spacing w:after="40"/>
        <w:jc w:val="both"/>
      </w:pPr>
      <w:r>
        <w:t xml:space="preserve">Договор составлен в двух экземплярах, имеющих одинаковую юридическую силу, по одному для каждой из сторон.</w:t>
      </w:r>
    </w:p>
    <w:p>
      <w:pPr>
        <w:spacing w:before="240"/>
      </w:pPr>
    </w:p>
    <w:tbl>
      <w:tblPr>
        <w:tblW w:w="9355" w:type="dxa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after="80"/>
            </w:pPr>
            <w:r>
              <w:rPr>
                <w:b/>
                <w:bCs/>
              </w:rPr>
              <w:t xml:space="preserve">ЗАКАЗЧИК:</w:t>
            </w:r>
          </w:p>
          <w:p>
            <w:r>
              <w:t xml:space="preserve">ООО «Северный ветер»</w:t>
            </w:r>
          </w:p>
          <w:p>
            <w:r>
              <w:t xml:space="preserve">ул. Лесная, д. 7, г. Новоград</w:t>
            </w:r>
          </w:p>
          <w:p>
            <w:r>
              <w:t xml:space="preserve">ИНН 0000000001</w:t>
            </w:r>
          </w:p>
          <w:p>
            <w:r>
              <w:t xml:space="preserve">р/с 00000000000000000001</w:t>
            </w:r>
          </w:p>
          <w:p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(подпись)</w:t>
            </w:r>
          </w:p>
        </w:tc>
        <w:tc>
          <w:tcPr>
            <w:tcW w:w="4678" w:type="dxa"/>
          </w:tcPr>
          <w:p>
            <w:pPr>
              <w:spacing w:after="80"/>
            </w:pPr>
            <w:r>
              <w:rPr>
                <w:b/>
                <w:bCs/>
              </w:rPr>
              <w:t xml:space="preserve">ИСПОЛНИТЕЛЬ:</w:t>
            </w:r>
          </w:p>
          <w:p>
            <w:r>
              <w:t xml:space="preserve">ООО «Альфа Сервис»</w:t>
            </w:r>
          </w:p>
          <w:p>
            <w:r>
              <w:t xml:space="preserve">пр. Строителей, д. 21, г. Новоград</w:t>
            </w:r>
          </w:p>
          <w:p>
            <w:r>
              <w:t xml:space="preserve">ИНН 0000000002</w:t>
            </w:r>
          </w:p>
          <w:p>
            <w:r>
              <w:t xml:space="preserve">р/с 00000000000000000002</w:t>
            </w:r>
          </w:p>
          <w:p>
            <w:pPr>
              <w:tabs>
                <w:tab w:val="left" w:leader="underscore" w:pos="2400"/>
              </w:tabs>
              <w:spacing w:before="480"/>
            </w:pPr>
            <w:r>
              <w:tab/>
            </w:r>
          </w:p>
          <w:p>
            <w:r>
              <w:rPr>
                <w:sz w:val="18"/>
                <w:szCs w:val="18"/>
              </w:rPr>
              <w:t xml:space="preserve">(подпись)</w:t>
            </w:r>
          </w:p>
        </w:tc>
      </w:tr>
    </w:tbl>
    <w:sectPr>
      <w:footerReference w:type="default" r:id="rId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erif"/>
  <w:font w:name="en-US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ru-RU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erif" w:hAnsi="Liberation Serif" w:cs="Liberation Serif"/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erif" w:hAnsi="Liberation Serif" w:cs="Liberation Serif"/>
      <w:b/>
      <w:bCs/>
      <w:sz w:val="26"/>
      <w:szCs w:val="26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erif" w:hAnsi="Liberation Serif" w:cs="Liberation Serif"/>
      <w:b/>
      <w:bCs/>
      <w:sz w:val="48"/>
      <w:szCs w:val="4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contract-ru</dc:title>
  <dc:description>Russian services contract: title, place and date on a right tab, justified text with a 1.25 cm first-line indent, multi-level numbering 1. / 1.1., an underscore-leader signature table, Страница X из Y footer; Times New Roman 12,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