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i/>
          <w:iCs/>
          <w:sz w:val="24"/>
          <w:szCs w:val="24"/>
        </w:rPr>
        <w:t xml:space="preserve">Curriculum Vitae</w:t>
      </w:r>
    </w:p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Dr. Thomas Ashworth</w:t>
      </w:r>
    </w:p>
    <w:p>
      <w:pPr>
        <w:spacing w:after="240"/>
        <w:jc w:val="center"/>
      </w:pPr>
      <w:r>
        <w:t xml:space="preserve">Senior Lecturer in Coastal Engineering, Department of Civil Engineering, Eastport University</w:t>
      </w:r>
    </w:p>
    <w:p>
      <w:pPr>
        <w:pStyle w:val="Heading1"/>
      </w:pPr>
      <w:r>
        <w:rPr>
          <w:b/>
          <w:bCs/>
        </w:rPr>
        <w:t xml:space="preserve">Research interests</w:t>
      </w:r>
    </w:p>
    <w:p>
      <w:pPr>
        <w:spacing w:line="276" w:lineRule="auto"/>
        <w:jc w:val="both"/>
      </w:pPr>
      <w:r>
        <w:t xml:space="preserve">Marine renewable energy, sediment transport and the design of coastal structures. My work combines field measurements with numerical models and is used by harbour authorities and energy developers</w:t>
      </w:r>
      <w:r>
        <w:rPr>
          <w:rStyle w:val="FootnoteReference"/>
        </w:rPr>
        <w:footnoteReference w:id="1"/>
      </w:r>
      <w:r>
        <w:t xml:space="preserve">. I lead the coastal laboratory and supervise six doctoral students.</w:t>
      </w:r>
    </w:p>
    <w:p>
      <w:pPr>
        <w:pStyle w:val="Heading1"/>
      </w:pPr>
      <w:r>
        <w:rPr>
          <w:b/>
          <w:bCs/>
        </w:rPr>
        <w:t xml:space="preserve">Appointments</w:t>
      </w:r>
    </w:p>
    <w:p>
      <w:pPr>
        <w:tabs>
          <w:tab w:val="left" w:pos="1800"/>
        </w:tabs>
        <w:ind w:left="1800" w:hanging="1800"/>
      </w:pPr>
      <w:r>
        <w:t xml:space="preserve">2019–present</w:t>
        <w:tab/>
        <w:t xml:space="preserve">Senior Lecturer, Eastport University</w:t>
      </w:r>
    </w:p>
    <w:p>
      <w:pPr>
        <w:tabs>
          <w:tab w:val="left" w:pos="1800"/>
        </w:tabs>
        <w:ind w:left="1800" w:hanging="1800"/>
      </w:pPr>
      <w:r>
        <w:t xml:space="preserve">2014–2019</w:t>
        <w:tab/>
        <w:t xml:space="preserve">Lecturer, Eastport University</w:t>
      </w:r>
    </w:p>
    <w:p>
      <w:pPr>
        <w:tabs>
          <w:tab w:val="left" w:pos="1800"/>
        </w:tabs>
        <w:ind w:left="1800" w:hanging="1800"/>
      </w:pPr>
      <w:r>
        <w:t xml:space="preserve">2011–2014</w:t>
        <w:tab/>
        <w:t xml:space="preserve">Research Fellow, Northern Marine Institute</w:t>
      </w:r>
    </w:p>
    <w:p>
      <w:pPr>
        <w:pStyle w:val="Heading1"/>
      </w:pPr>
      <w:r>
        <w:rPr>
          <w:b/>
          <w:bCs/>
        </w:rPr>
        <w:t xml:space="preserve">Selected publications</w:t>
      </w:r>
    </w:p>
    <w:p>
      <w:pPr>
        <w:numPr>
          <w:ilvl w:val="0"/>
          <w:numId w:val="4"/>
        </w:numPr>
        <w:spacing w:after="80"/>
        <w:jc w:val="both"/>
      </w:pPr>
      <w:r>
        <w:t xml:space="preserve">Ashworth, T. and Lindqvist, M. (2025). Tidal energy siting under uncertainty. Journal of Coastal Systems, 41(3), 211–236.</w:t>
      </w:r>
    </w:p>
    <w:p>
      <w:pPr>
        <w:numPr>
          <w:ilvl w:val="0"/>
          <w:numId w:val="4"/>
        </w:numPr>
        <w:spacing w:after="80"/>
        <w:jc w:val="both"/>
      </w:pPr>
      <w:r>
        <w:t xml:space="preserve">Ashworth, T. (2024). A practical guide to seabed surveys for small research groups. Field Methods in Marine Science, 12, 55–79.</w:t>
      </w:r>
    </w:p>
    <w:p>
      <w:pPr>
        <w:numPr>
          <w:ilvl w:val="0"/>
          <w:numId w:val="4"/>
        </w:numPr>
        <w:spacing w:after="80"/>
        <w:jc w:val="both"/>
      </w:pPr>
      <w:r>
        <w:t xml:space="preserve">Ashworth, T., Romero, P. and Chen, L. (2023). Sediment transport near offshore foundations: a ten-year record. Ocean Engineering Letters, 8(2), 101–129.</w:t>
      </w:r>
    </w:p>
    <w:p>
      <w:pPr>
        <w:numPr>
          <w:ilvl w:val="0"/>
          <w:numId w:val="4"/>
        </w:numPr>
        <w:spacing w:after="80"/>
        <w:jc w:val="both"/>
      </w:pPr>
      <w:r>
        <w:t xml:space="preserve">Lindqvist, M. and Ashworth, T. (2021). Measuring turbulence with low-cost acoustic sensors. Instruments for the Sea, 19, 300–318.</w:t>
      </w:r>
    </w:p>
    <w:p>
      <w:pPr>
        <w:numPr>
          <w:ilvl w:val="0"/>
          <w:numId w:val="4"/>
        </w:numPr>
        <w:spacing w:after="80"/>
        <w:jc w:val="both"/>
      </w:pPr>
      <w:r>
        <w:t xml:space="preserve">Ashworth, T. (2019). Coastal models and the people who use them. In: Harlan, J. (ed.) Science at the Shoreline. Eastport University Press, 45–68.</w:t>
      </w:r>
    </w:p>
    <w:p>
      <w:pPr>
        <w:numPr>
          <w:ilvl w:val="0"/>
          <w:numId w:val="4"/>
        </w:numPr>
        <w:spacing w:after="80"/>
        <w:jc w:val="both"/>
      </w:pPr>
      <w:r>
        <w:t xml:space="preserve">Ashworth, T. and Okonkwo, B. (2017). Storm surge and harbour design: lessons from three winters. Port Engineering Quarterly, 33(4), 12–30.</w:t>
      </w:r>
    </w:p>
    <w:p>
      <w:pPr>
        <w:pStyle w:val="Heading1"/>
      </w:pPr>
      <w:r>
        <w:rPr>
          <w:b/>
          <w:bCs/>
        </w:rPr>
        <w:t xml:space="preserve">Teaching</w:t>
      </w:r>
    </w:p>
    <w:p>
      <w:pPr>
        <w:spacing w:line="276" w:lineRule="auto"/>
        <w:jc w:val="both"/>
      </w:pPr>
      <w:r>
        <w:t xml:space="preserve">Fluid mechanics (second year, 180 students), coastal engineering design (fourth year), and a graduate course on field methods. Course leader for the coastal engineering master's programme since 2021.</w:t>
      </w:r>
    </w:p>
    <w:p>
      <w:pPr>
        <w:pStyle w:val="Heading1"/>
      </w:pPr>
      <w:r>
        <w:rPr>
          <w:b/>
          <w:bCs/>
        </w:rPr>
        <w:t xml:space="preserve">Grants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500"/>
        <w:gridCol w:w="6160"/>
        <w:gridCol w:w="1700"/>
      </w:tblGrid>
      <w:tr>
        <w:trPr>
          <w:tblHeader/>
        </w:trPr>
        <w:tc>
          <w:tcPr>
            <w:tcW w:w="1500" w:type="dxa"/>
          </w:tcPr>
          <w:p>
            <w:r>
              <w:rPr>
                <w:b/>
                <w:bCs/>
              </w:rPr>
              <w:t xml:space="preserve">Years</w:t>
            </w:r>
          </w:p>
        </w:tc>
        <w:tc>
          <w:tcPr>
            <w:tcW w:w="6160" w:type="dxa"/>
          </w:tcPr>
          <w:p>
            <w:r>
              <w:rPr>
                <w:b/>
                <w:bCs/>
              </w:rPr>
              <w:t xml:space="preserve">Funder and title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w="1500" w:type="dxa"/>
          </w:tcPr>
          <w:p>
            <w:r>
              <w:t xml:space="preserve">2024–2027</w:t>
            </w:r>
          </w:p>
        </w:tc>
        <w:tc>
          <w:tcPr>
            <w:tcW w:w="6160" w:type="dxa"/>
          </w:tcPr>
          <w:p>
            <w:r>
              <w:t xml:space="preserve">National Science Fund: Tidal sites under changing seabeds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$ 840,000</w:t>
            </w:r>
          </w:p>
        </w:tc>
      </w:tr>
      <w:tr>
        <w:tc>
          <w:tcPr>
            <w:tcW w:w="1500" w:type="dxa"/>
          </w:tcPr>
          <w:p>
            <w:r>
              <w:t xml:space="preserve">2021–2023</w:t>
            </w:r>
          </w:p>
        </w:tc>
        <w:tc>
          <w:tcPr>
            <w:tcW w:w="6160" w:type="dxa"/>
          </w:tcPr>
          <w:p>
            <w:r>
              <w:t xml:space="preserve">Coastal Authority: Harbour wave climate study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$ 210,000</w:t>
            </w:r>
          </w:p>
        </w:tc>
      </w:tr>
      <w:tr>
        <w:tc>
          <w:tcPr>
            <w:tcW w:w="1500" w:type="dxa"/>
          </w:tcPr>
          <w:p>
            <w:r>
              <w:t xml:space="preserve">2018–2020</w:t>
            </w:r>
          </w:p>
        </w:tc>
        <w:tc>
          <w:tcPr>
            <w:tcW w:w="6160" w:type="dxa"/>
          </w:tcPr>
          <w:p>
            <w:r>
              <w:t xml:space="preserve">Energy Research Council: Sensor networks for tidal turbines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$ 365,000</w:t>
            </w:r>
          </w:p>
        </w:tc>
      </w:tr>
    </w:tbl>
    <w:sectPr>
      <w:footerReference w:type="default" r:id="rId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Serif"/>
  <w:font w:name="en-US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tabs>
        <w:tab w:val="right" w:pos="9360"/>
      </w:tabs>
    </w:pPr>
    <w:r>
      <w:t xml:space="preserve">T. Ashworth – CV</w:t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Including the harbour authorities of three ports and two offshore wind developers.</w:t>
      </w:r>
    </w:p>
  </w:footnote>
</w:footnote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Serif" w:hAnsi="Liberation Serif" w:cs="Liberation Serif"/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Serif" w:hAnsi="Liberation Serif" w:cs="Liberation Serif"/>
      <w:b/>
      <w:bCs/>
      <w:sz w:val="26"/>
      <w:szCs w:val="26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Serif" w:hAnsi="Liberation Serif" w:cs="Liberation Serif"/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Relationship Id="rId6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cv-en-academic</dc:title>
  <dc:description>Academic CV: justified text with line spacing 1.15, Heading 1 style, hanging-indent appointments, bracketed numbered publications, a footnote, a grants table with a header row; Times New Roman 12,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