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1908" w:rsidRDefault="006D25D7">
      <w:r>
        <w:t>Case 01: the table style BoldOn (w:b on); a paragraph in Normal</w:t>
      </w:r>
    </w:p>
    <w:tbl>
      <w:tblPr>
        <w:tblStyle w:val="BoldOn"/>
        <w:tblW w:w="3008" w:type="dxa"/>
        <w:tblLook w:val="04A0" w:firstRow="1" w:lastRow="0" w:firstColumn="1" w:lastColumn="0" w:noHBand="0" w:noVBand="1"/>
      </w:tblPr>
      <w:tblGrid>
        <w:gridCol w:w="3008"/>
      </w:tblGrid>
      <w:tr w:rsidR="00161908">
        <w:tc>
          <w:tcPr>
            <w:tcW w:w="3008" w:type="dxa"/>
          </w:tcPr>
          <w:p w:rsidR="00161908" w:rsidRDefault="006D25D7">
            <w:r>
              <w:t>in Normal</w:t>
            </w:r>
          </w:p>
        </w:tc>
      </w:tr>
    </w:tbl>
    <w:p w:rsidR="00161908" w:rsidRDefault="00161908"/>
    <w:p w:rsidR="00161908" w:rsidRDefault="006D25D7">
      <w:r>
        <w:t>Case 02: the table style BoldOff (w:b off); a paragraph in Normal, one whose run is in CharBoldOff (w:b off), and one whose run is in CharBold (w:b on)</w:t>
      </w:r>
    </w:p>
    <w:tbl>
      <w:tblPr>
        <w:tblStyle w:val="BoldOff"/>
        <w:tblW w:w="9024" w:type="dxa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161908">
        <w:tc>
          <w:tcPr>
            <w:tcW w:w="3008" w:type="dxa"/>
          </w:tcPr>
          <w:p w:rsidR="00161908" w:rsidRDefault="006D25D7">
            <w:r>
              <w:t>in Normal</w:t>
            </w:r>
          </w:p>
        </w:tc>
        <w:tc>
          <w:tcPr>
            <w:tcW w:w="3008" w:type="dxa"/>
          </w:tcPr>
          <w:p w:rsidR="00161908" w:rsidRDefault="006D25D7">
            <w:r>
              <w:rPr>
                <w:rStyle w:val="CharBoldOff"/>
              </w:rPr>
              <w:t>in CharBoldOff</w:t>
            </w:r>
          </w:p>
        </w:tc>
        <w:tc>
          <w:tcPr>
            <w:tcW w:w="3008" w:type="dxa"/>
          </w:tcPr>
          <w:p w:rsidR="00161908" w:rsidRDefault="006D25D7">
            <w:r>
              <w:rPr>
                <w:rStyle w:val="CharBold"/>
              </w:rPr>
              <w:t>in CharBold</w:t>
            </w:r>
          </w:p>
        </w:tc>
      </w:tr>
    </w:tbl>
    <w:p w:rsidR="00161908" w:rsidRDefault="00161908"/>
    <w:sectPr w:rsidR="00161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908"/>
    <w:rsid w:val="00161908"/>
    <w:rsid w:val="002C4074"/>
    <w:rsid w:val="006D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b/>
        <w:bCs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oldOn">
    <w:name w:val="BoldOn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BoldOff">
    <w:name w:val="BoldOff"/>
    <w:basedOn w:val="TableNormal"/>
    <w:rPr>
      <w:b w:val="0"/>
      <w:bCs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Bold">
    <w:name w:val="CharBold"/>
    <w:rPr>
      <w:b/>
      <w:bCs/>
    </w:rPr>
  </w:style>
  <w:style w:type="character" w:customStyle="1" w:styleId="CharBoldOff">
    <w:name w:val="CharBoldOff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220</Characters>
  <Application>Microsoft Office Word</Application>
  <DocSecurity>4</DocSecurity>
  <Lines>7</Lines>
  <Paragraphs>7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E-table-style-toggles-defaults</dc:title>
  <dc:creator/>
  <dc:description>With bold document defaults, whether a table style's w:b off applies and whether its w:b on toggles the defaults off, as the standard says; and how a character style's bold combines with a table style's w:b off: as one more toggle level, which gives bold for CharBoldOff and not bold for CharBold, or as the base they count from, which gives the reverse</dc:description>
  <cp:lastModifiedBy/>
  <cp:revision>1</cp:revision>
  <dcterms:created xsi:type="dcterms:W3CDTF">2026-10-15T09:27:00Z</dcterms:created>
  <dcterms:modified xsi:type="dcterms:W3CDTF">2026-10-15T09:27:00Z</dcterms:modified>
</cp:coreProperties>
</file>