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superscript at 8 pt: </w:t>
      </w:r>
      <w:r>
        <w:rPr>
          <w:sz w:val="16"/>
          <w:szCs w:val="16"/>
        </w:rPr>
        <w:t xml:space="preserve">Base</w:t>
      </w:r>
      <w:r>
        <w:rPr>
          <w:sz w:val="16"/>
          <w:szCs w:val="16"/>
          <w:vertAlign w:val="superscript"/>
        </w:rPr>
        <w:t xml:space="preserve">123</w:t>
      </w:r>
    </w:p>
    <w:p>
      <w:r>
        <w:t xml:space="preserve">Case 02: subscript at 8 pt: </w:t>
      </w:r>
      <w:r>
        <w:rPr>
          <w:sz w:val="16"/>
          <w:szCs w:val="16"/>
        </w:rPr>
        <w:t xml:space="preserve">Base</w:t>
      </w:r>
      <w:r>
        <w:rPr>
          <w:sz w:val="16"/>
          <w:szCs w:val="16"/>
          <w:vertAlign w:val="subscript"/>
        </w:rPr>
        <w:t xml:space="preserve">123</w:t>
      </w:r>
    </w:p>
    <w:p>
      <w:r>
        <w:t xml:space="preserve">Case 03: superscript at 9 pt: </w:t>
      </w:r>
      <w:r>
        <w:rPr>
          <w:sz w:val="18"/>
          <w:szCs w:val="18"/>
        </w:rPr>
        <w:t xml:space="preserve">Base</w:t>
      </w:r>
      <w:r>
        <w:rPr>
          <w:sz w:val="18"/>
          <w:szCs w:val="18"/>
          <w:vertAlign w:val="superscript"/>
        </w:rPr>
        <w:t xml:space="preserve">123</w:t>
      </w:r>
    </w:p>
    <w:p>
      <w:r>
        <w:t xml:space="preserve">Case 04: subscript at 9 pt: </w:t>
      </w:r>
      <w:r>
        <w:rPr>
          <w:sz w:val="18"/>
          <w:szCs w:val="18"/>
        </w:rPr>
        <w:t xml:space="preserve">Base</w:t>
      </w:r>
      <w:r>
        <w:rPr>
          <w:sz w:val="18"/>
          <w:szCs w:val="18"/>
          <w:vertAlign w:val="subscript"/>
        </w:rPr>
        <w:t xml:space="preserve">123</w:t>
      </w:r>
    </w:p>
    <w:p>
      <w:r>
        <w:t xml:space="preserve">Case 05: superscript at 10 pt: </w:t>
      </w:r>
      <w:r>
        <w:rPr>
          <w:sz w:val="20"/>
          <w:szCs w:val="20"/>
        </w:rPr>
        <w:t xml:space="preserve">Base</w:t>
      </w:r>
      <w:r>
        <w:rPr>
          <w:sz w:val="20"/>
          <w:szCs w:val="20"/>
          <w:vertAlign w:val="superscript"/>
        </w:rPr>
        <w:t xml:space="preserve">123</w:t>
      </w:r>
    </w:p>
    <w:p>
      <w:r>
        <w:t xml:space="preserve">Case 06: subscript at 10 pt: </w:t>
      </w:r>
      <w:r>
        <w:rPr>
          <w:sz w:val="20"/>
          <w:szCs w:val="20"/>
        </w:rPr>
        <w:t xml:space="preserve">Base</w:t>
      </w:r>
      <w:r>
        <w:rPr>
          <w:sz w:val="20"/>
          <w:szCs w:val="20"/>
          <w:vertAlign w:val="subscript"/>
        </w:rPr>
        <w:t xml:space="preserve">123</w:t>
      </w:r>
    </w:p>
    <w:p>
      <w:r>
        <w:t xml:space="preserve">Case 07: superscript at 12 pt: </w:t>
      </w:r>
      <w:r>
        <w:rPr>
          <w:sz w:val="24"/>
          <w:szCs w:val="24"/>
        </w:rPr>
        <w:t xml:space="preserve">Base</w:t>
      </w:r>
      <w:r>
        <w:rPr>
          <w:sz w:val="24"/>
          <w:szCs w:val="24"/>
          <w:vertAlign w:val="superscript"/>
        </w:rPr>
        <w:t xml:space="preserve">123</w:t>
      </w:r>
    </w:p>
    <w:p>
      <w:r>
        <w:t xml:space="preserve">Case 08: subscript at 12 pt: </w:t>
      </w:r>
      <w:r>
        <w:rPr>
          <w:sz w:val="24"/>
          <w:szCs w:val="24"/>
        </w:rPr>
        <w:t xml:space="preserve">Base</w:t>
      </w:r>
      <w:r>
        <w:rPr>
          <w:sz w:val="24"/>
          <w:szCs w:val="24"/>
          <w:vertAlign w:val="subscript"/>
        </w:rPr>
        <w:t xml:space="preserve">123</w:t>
      </w:r>
    </w:p>
    <w:p>
      <w:r>
        <w:t xml:space="preserve">Case 09: superscript at 16 pt: </w:t>
      </w:r>
      <w:r>
        <w:rPr>
          <w:sz w:val="32"/>
          <w:szCs w:val="32"/>
        </w:rPr>
        <w:t xml:space="preserve">Base</w:t>
      </w:r>
      <w:r>
        <w:rPr>
          <w:sz w:val="32"/>
          <w:szCs w:val="32"/>
          <w:vertAlign w:val="superscript"/>
        </w:rPr>
        <w:t xml:space="preserve">123</w:t>
      </w:r>
    </w:p>
    <w:p>
      <w:r>
        <w:t xml:space="preserve">Case 10: subscript at 16 pt: </w:t>
      </w:r>
      <w:r>
        <w:rPr>
          <w:sz w:val="32"/>
          <w:szCs w:val="32"/>
        </w:rPr>
        <w:t xml:space="preserve">Base</w:t>
      </w:r>
      <w:r>
        <w:rPr>
          <w:sz w:val="32"/>
          <w:szCs w:val="32"/>
          <w:vertAlign w:val="subscript"/>
        </w:rPr>
        <w:t xml:space="preserve">123</w:t>
      </w:r>
    </w:p>
    <w:p>
      <w:r>
        <w:t xml:space="preserve">Case 11: superscript at 20 pt: </w:t>
      </w:r>
      <w:r>
        <w:rPr>
          <w:sz w:val="40"/>
          <w:szCs w:val="40"/>
        </w:rPr>
        <w:t xml:space="preserve">Base</w:t>
      </w:r>
      <w:r>
        <w:rPr>
          <w:sz w:val="40"/>
          <w:szCs w:val="40"/>
          <w:vertAlign w:val="superscript"/>
        </w:rPr>
        <w:t xml:space="preserve">123</w:t>
      </w:r>
    </w:p>
    <w:p>
      <w:r>
        <w:t xml:space="preserve">Case 12: subscript at 20 pt: </w:t>
      </w:r>
      <w:r>
        <w:rPr>
          <w:sz w:val="40"/>
          <w:szCs w:val="40"/>
        </w:rPr>
        <w:t xml:space="preserve">Base</w:t>
      </w:r>
      <w:r>
        <w:rPr>
          <w:sz w:val="40"/>
          <w:szCs w:val="40"/>
          <w:vertAlign w:val="subscript"/>
        </w:rPr>
        <w:t xml:space="preserve">123</w:t>
      </w:r>
    </w:p>
    <w:p>
      <w:r>
        <w:t xml:space="preserve">Case 13: superscript at 36 pt: </w:t>
      </w:r>
      <w:r>
        <w:rPr>
          <w:sz w:val="72"/>
          <w:szCs w:val="72"/>
        </w:rPr>
        <w:t xml:space="preserve">Base</w:t>
      </w:r>
      <w:r>
        <w:rPr>
          <w:sz w:val="72"/>
          <w:szCs w:val="72"/>
          <w:vertAlign w:val="superscript"/>
        </w:rPr>
        <w:t xml:space="preserve">123</w:t>
      </w:r>
    </w:p>
    <w:p>
      <w:r>
        <w:t xml:space="preserve">Case 14: subscript at 36 pt: </w:t>
      </w:r>
      <w:r>
        <w:rPr>
          <w:sz w:val="72"/>
          <w:szCs w:val="72"/>
        </w:rPr>
        <w:t xml:space="preserve">Base</w:t>
      </w:r>
      <w:r>
        <w:rPr>
          <w:sz w:val="72"/>
          <w:szCs w:val="72"/>
          <w:vertAlign w:val="subscript"/>
        </w:rPr>
        <w:t xml:space="preserve">123</w:t>
      </w:r>
    </w:p>
    <w:p>
      <w:r>
        <w:t xml:space="preserve">Case 15: superscript at 48 pt: </w:t>
      </w:r>
      <w:r>
        <w:rPr>
          <w:sz w:val="96"/>
          <w:szCs w:val="96"/>
        </w:rPr>
        <w:t xml:space="preserve">Base</w:t>
      </w:r>
      <w:r>
        <w:rPr>
          <w:sz w:val="96"/>
          <w:szCs w:val="96"/>
          <w:vertAlign w:val="superscript"/>
        </w:rPr>
        <w:t xml:space="preserve">123</w:t>
      </w:r>
    </w:p>
    <w:p>
      <w:r>
        <w:t xml:space="preserve">Case 16: subscript at 48 pt: </w:t>
      </w:r>
      <w:r>
        <w:rPr>
          <w:sz w:val="96"/>
          <w:szCs w:val="96"/>
        </w:rPr>
        <w:t xml:space="preserve">Base</w:t>
      </w:r>
      <w:r>
        <w:rPr>
          <w:sz w:val="96"/>
          <w:szCs w:val="96"/>
          <w:vertAlign w:val="subscript"/>
        </w:rPr>
        <w:t xml:space="preserve">123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E-superscript-sizes</dc:title>
  <dc:description>The size and the baseline shift of superscript and subscript text at 8, 9, 10, 12, 16, 20, 36 and 48 pt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