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without w:tblStyle; Normal Table, FirstDefault (red text, light grey) and SecondDefault (blue text, dark grey) are all marked w:default</w:t>
      </w:r>
    </w:p>
    <w:tbl>
      <w:tblPr>
        <w:tblW w:w="9024" w:type="dxa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default="1" w:customStyle="1" w:styleId="FirstDefault">
    <w:name w:val="FirstDefault"/>
    <w:basedOn w:val="TableNormal"/>
    <w:rPr>
      <w:color w:val="C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</w:style>
  <w:style w:type="table" w:default="1" w:customStyle="1" w:styleId="SecondDefault">
    <w:name w:val="SecondDefault"/>
    <w:basedOn w:val="TableNormal"/>
    <w:rPr>
      <w:color w:val="0070C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6A6A6"/>
    </w:tc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E-table-style-two-defaults</dc:title>
  <dc:description>Which table style a table without w:tblStyle takes when three table styles are marked w:default: Normal Table, then two styles that each give the table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