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superscript at 11 pt: </w:t>
      </w:r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123</w:t>
      </w:r>
    </w:p>
    <w:p>
      <w:r>
        <w:t xml:space="preserve">Case 02: subscript at 11 pt: </w:t>
      </w:r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bscript"/>
        </w:rPr>
        <w:t xml:space="preserve">123</w:t>
      </w:r>
    </w:p>
    <w:p>
      <w:r>
        <w:t xml:space="preserve">Case 03: superscript at 24 pt: </w:t>
      </w:r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123</w:t>
      </w:r>
    </w:p>
    <w:p>
      <w:r>
        <w:t xml:space="preserve">Case 04: subscript at 24 pt: </w:t>
      </w:r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bscript"/>
        </w:rPr>
        <w:t xml:space="preserve">123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E-superscript</dc:title>
  <dc:description>The size and the baseline shift of superscript and subscript text at 11 and 24 pt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