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Rosabon Investment Products</w:t>
      </w:r>
    </w:p>
    <w:p>
      <w:pPr>
        <w:jc w:val="center"/>
      </w:pPr>
      <w:r>
        <w:rPr>
          <w:i/>
          <w:color w:val="5A646E"/>
        </w:rPr>
        <w:t>Deduced Calculation Rules — RTN, REAP and RWIN</w:t>
      </w:r>
    </w:p>
    <w:p>
      <w:r>
        <w:t>Source basis: Rosabon Unified App — Investment Customer Journeys, plus previously reported QA observations explicitly identified as needing confirmation. Confirm approved production configuration before using illustrative figures as test oracles.</w:t>
      </w:r>
    </w:p>
    <w:p>
      <w:pPr>
        <w:pStyle w:val="Heading1"/>
      </w:pPr>
      <w:r>
        <w:t>1. Purpose and interpretation</w:t>
      </w:r>
    </w:p>
    <w:p>
      <w:r>
        <w:t>This document consolidates calculation rules that can be deduced from the investment journey source. RTN has the most complete documented calculation logic. REAP and RWIN do not have complete approved rate tables or calculation formulas in the source, so their numerical return rules remain unresolved.</w:t>
      </w:r>
    </w:p>
    <w:p>
      <w:pPr>
        <w:pStyle w:val="Heading1"/>
      </w:pPr>
      <w:r>
        <w:t>2. RTN — Rosabon Treasury Note</w:t>
      </w:r>
    </w:p>
    <w:p>
      <w:pPr>
        <w:pStyle w:val="Heading2"/>
      </w:pPr>
      <w:r>
        <w:t>2.1 Rate selection</w:t>
      </w:r>
    </w:p>
    <w:p>
      <w:r>
        <w:t>The applicable annual rate is selected using principal band, tenor and interest-payment option (upfront or at maturity). The source lists tenors of 60, 90, 120, 180 and 365 days.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r>
              <w:rPr>
                <w:b/>
                <w:color w:val="FFFFFF"/>
                <w:sz w:val="16"/>
              </w:rPr>
              <w:t>Tenor</w:t>
            </w:r>
          </w:p>
        </w:tc>
        <w:tc>
          <w:tcPr>
            <w:tcW w:type="dxa" w:w="2520"/>
            <w:shd w:fill="1F4E79"/>
            <w:vAlign w:val="top"/>
          </w:tcPr>
          <w:p>
            <w:r>
              <w:rPr>
                <w:b/>
                <w:color w:val="FFFFFF"/>
                <w:sz w:val="16"/>
              </w:rPr>
              <w:t>Band A: Upfront / Maturity</w:t>
            </w:r>
          </w:p>
        </w:tc>
        <w:tc>
          <w:tcPr>
            <w:tcW w:type="dxa" w:w="2520"/>
            <w:shd w:fill="1F4E79"/>
            <w:vAlign w:val="top"/>
          </w:tcPr>
          <w:p>
            <w:r>
              <w:rPr>
                <w:b/>
                <w:color w:val="FFFFFF"/>
                <w:sz w:val="16"/>
              </w:rPr>
              <w:t>Band B: Upfront / Maturity</w:t>
            </w:r>
          </w:p>
        </w:tc>
        <w:tc>
          <w:tcPr>
            <w:tcW w:type="dxa" w:w="2520"/>
            <w:shd w:fill="1F4E79"/>
            <w:vAlign w:val="top"/>
          </w:tcPr>
          <w:p>
            <w:r>
              <w:rPr>
                <w:b/>
                <w:color w:val="FFFFFF"/>
                <w:sz w:val="16"/>
              </w:rPr>
              <w:t>Band C: Upfront / Maturity</w:t>
            </w:r>
          </w:p>
        </w:tc>
      </w:tr>
      <w:tr>
        <w:tc>
          <w:tcPr>
            <w:tcW w:type="dxa" w:w="2520"/>
            <w:vAlign w:val="top"/>
          </w:tcPr>
          <w:p>
            <w:pPr>
              <w:spacing w:after="40"/>
            </w:pPr>
            <w:r>
              <w:rPr>
                <w:sz w:val="16"/>
              </w:rPr>
              <w:t>60 days</w:t>
            </w:r>
          </w:p>
        </w:tc>
        <w:tc>
          <w:tcPr>
            <w:tcW w:type="dxa" w:w="2520"/>
            <w:vAlign w:val="top"/>
          </w:tcPr>
          <w:p>
            <w:pPr>
              <w:spacing w:after="40"/>
            </w:pPr>
            <w:r>
              <w:rPr>
                <w:sz w:val="16"/>
              </w:rPr>
              <w:t>13.89% / 16.00%</w:t>
            </w:r>
          </w:p>
        </w:tc>
        <w:tc>
          <w:tcPr>
            <w:tcW w:type="dxa" w:w="2520"/>
            <w:vAlign w:val="top"/>
          </w:tcPr>
          <w:p>
            <w:pPr>
              <w:spacing w:after="40"/>
            </w:pPr>
            <w:r>
              <w:rPr>
                <w:sz w:val="16"/>
              </w:rPr>
              <w:t>15.19% / 17.75%</w:t>
            </w:r>
          </w:p>
        </w:tc>
        <w:tc>
          <w:tcPr>
            <w:tcW w:type="dxa" w:w="2520"/>
            <w:vAlign w:val="top"/>
          </w:tcPr>
          <w:p>
            <w:pPr>
              <w:spacing w:after="40"/>
            </w:pPr>
            <w:r>
              <w:rPr>
                <w:sz w:val="16"/>
              </w:rPr>
              <w:t>16.62% / 19.75%</w:t>
            </w:r>
          </w:p>
        </w:tc>
      </w:tr>
      <w:tr>
        <w:tc>
          <w:tcPr>
            <w:tcW w:type="dxa" w:w="2520"/>
            <w:vAlign w:val="top"/>
          </w:tcPr>
          <w:p>
            <w:pPr>
              <w:spacing w:after="40"/>
            </w:pPr>
            <w:r>
              <w:rPr>
                <w:sz w:val="16"/>
              </w:rPr>
              <w:t>90 days</w:t>
            </w:r>
          </w:p>
        </w:tc>
        <w:tc>
          <w:tcPr>
            <w:tcW w:type="dxa" w:w="2520"/>
            <w:vAlign w:val="top"/>
          </w:tcPr>
          <w:p>
            <w:pPr>
              <w:spacing w:after="40"/>
            </w:pPr>
            <w:r>
              <w:rPr>
                <w:sz w:val="16"/>
              </w:rPr>
              <w:t>14.89% / 17.00%</w:t>
            </w:r>
          </w:p>
        </w:tc>
        <w:tc>
          <w:tcPr>
            <w:tcW w:type="dxa" w:w="2520"/>
            <w:vAlign w:val="top"/>
          </w:tcPr>
          <w:p>
            <w:pPr>
              <w:spacing w:after="40"/>
            </w:pPr>
            <w:r>
              <w:rPr>
                <w:sz w:val="16"/>
              </w:rPr>
              <w:t>16.19% / 18.75%</w:t>
            </w:r>
          </w:p>
        </w:tc>
        <w:tc>
          <w:tcPr>
            <w:tcW w:type="dxa" w:w="2520"/>
            <w:vAlign w:val="top"/>
          </w:tcPr>
          <w:p>
            <w:pPr>
              <w:spacing w:after="40"/>
            </w:pPr>
            <w:r>
              <w:rPr>
                <w:sz w:val="16"/>
              </w:rPr>
              <w:t>17.62% / 20.75%</w:t>
            </w:r>
          </w:p>
        </w:tc>
      </w:tr>
      <w:tr>
        <w:tc>
          <w:tcPr>
            <w:tcW w:type="dxa" w:w="2520"/>
            <w:vAlign w:val="top"/>
          </w:tcPr>
          <w:p>
            <w:pPr>
              <w:spacing w:after="40"/>
            </w:pPr>
            <w:r>
              <w:rPr>
                <w:sz w:val="16"/>
              </w:rPr>
              <w:t>120 days</w:t>
            </w:r>
          </w:p>
        </w:tc>
        <w:tc>
          <w:tcPr>
            <w:tcW w:type="dxa" w:w="2520"/>
            <w:vAlign w:val="top"/>
          </w:tcPr>
          <w:p>
            <w:pPr>
              <w:spacing w:after="40"/>
            </w:pPr>
            <w:r>
              <w:rPr>
                <w:sz w:val="16"/>
              </w:rPr>
              <w:t>15.64% / 17.75%</w:t>
            </w:r>
          </w:p>
        </w:tc>
        <w:tc>
          <w:tcPr>
            <w:tcW w:type="dxa" w:w="2520"/>
            <w:vAlign w:val="top"/>
          </w:tcPr>
          <w:p>
            <w:pPr>
              <w:spacing w:after="40"/>
            </w:pPr>
            <w:r>
              <w:rPr>
                <w:sz w:val="16"/>
              </w:rPr>
              <w:t>17.19% / 19.75%</w:t>
            </w:r>
          </w:p>
        </w:tc>
        <w:tc>
          <w:tcPr>
            <w:tcW w:type="dxa" w:w="2520"/>
            <w:vAlign w:val="top"/>
          </w:tcPr>
          <w:p>
            <w:pPr>
              <w:spacing w:after="40"/>
            </w:pPr>
            <w:r>
              <w:rPr>
                <w:sz w:val="16"/>
              </w:rPr>
              <w:t>18.37% / 21.50%</w:t>
            </w:r>
          </w:p>
        </w:tc>
      </w:tr>
      <w:tr>
        <w:tc>
          <w:tcPr>
            <w:tcW w:type="dxa" w:w="2520"/>
            <w:vAlign w:val="top"/>
          </w:tcPr>
          <w:p>
            <w:pPr>
              <w:spacing w:after="40"/>
            </w:pPr>
            <w:r>
              <w:rPr>
                <w:sz w:val="16"/>
              </w:rPr>
              <w:t>180 days</w:t>
            </w:r>
          </w:p>
        </w:tc>
        <w:tc>
          <w:tcPr>
            <w:tcW w:type="dxa" w:w="2520"/>
            <w:vAlign w:val="top"/>
          </w:tcPr>
          <w:p>
            <w:pPr>
              <w:spacing w:after="40"/>
            </w:pPr>
            <w:r>
              <w:rPr>
                <w:sz w:val="16"/>
              </w:rPr>
              <w:t>16.39% / 18.50%</w:t>
            </w:r>
          </w:p>
        </w:tc>
        <w:tc>
          <w:tcPr>
            <w:tcW w:type="dxa" w:w="2520"/>
            <w:vAlign w:val="top"/>
          </w:tcPr>
          <w:p>
            <w:pPr>
              <w:spacing w:after="40"/>
            </w:pPr>
            <w:r>
              <w:rPr>
                <w:sz w:val="16"/>
              </w:rPr>
              <w:t>17.94% / 20.50%</w:t>
            </w:r>
          </w:p>
        </w:tc>
        <w:tc>
          <w:tcPr>
            <w:tcW w:type="dxa" w:w="2520"/>
            <w:vAlign w:val="top"/>
          </w:tcPr>
          <w:p>
            <w:pPr>
              <w:spacing w:after="40"/>
            </w:pPr>
            <w:r>
              <w:rPr>
                <w:sz w:val="16"/>
              </w:rPr>
              <w:t>19.12% / 22.25%</w:t>
            </w:r>
          </w:p>
        </w:tc>
      </w:tr>
      <w:tr>
        <w:tc>
          <w:tcPr>
            <w:tcW w:type="dxa" w:w="2520"/>
            <w:vAlign w:val="top"/>
          </w:tcPr>
          <w:p>
            <w:pPr>
              <w:spacing w:after="40"/>
            </w:pPr>
            <w:r>
              <w:rPr>
                <w:sz w:val="16"/>
              </w:rPr>
              <w:t>365 days</w:t>
            </w:r>
          </w:p>
        </w:tc>
        <w:tc>
          <w:tcPr>
            <w:tcW w:type="dxa" w:w="2520"/>
            <w:vAlign w:val="top"/>
          </w:tcPr>
          <w:p>
            <w:pPr>
              <w:spacing w:after="40"/>
            </w:pPr>
            <w:r>
              <w:rPr>
                <w:sz w:val="16"/>
              </w:rPr>
              <w:t>17.14% / 19.25%</w:t>
            </w:r>
          </w:p>
        </w:tc>
        <w:tc>
          <w:tcPr>
            <w:tcW w:type="dxa" w:w="2520"/>
            <w:vAlign w:val="top"/>
          </w:tcPr>
          <w:p>
            <w:pPr>
              <w:spacing w:after="40"/>
            </w:pPr>
            <w:r>
              <w:rPr>
                <w:sz w:val="16"/>
              </w:rPr>
              <w:t>18.69% / 21.25%</w:t>
            </w:r>
          </w:p>
        </w:tc>
        <w:tc>
          <w:tcPr>
            <w:tcW w:type="dxa" w:w="2520"/>
            <w:vAlign w:val="top"/>
          </w:tcPr>
          <w:p>
            <w:pPr>
              <w:spacing w:after="40"/>
            </w:pPr>
            <w:r>
              <w:rPr>
                <w:sz w:val="16"/>
              </w:rPr>
              <w:t>19.87% / 23.00%</w:t>
            </w:r>
          </w:p>
        </w:tc>
      </w:tr>
    </w:tbl>
    <w:p>
      <w:r>
        <w:t>Principal bands stated in the journey document:</w:t>
      </w:r>
    </w:p>
    <w:p>
      <w:pPr>
        <w:pStyle w:val="ListBullet"/>
      </w:pPr>
      <w:r>
        <w:t>Band A: ₦50,000–₦999,999.99.</w:t>
      </w:r>
    </w:p>
    <w:p>
      <w:pPr>
        <w:pStyle w:val="ListBullet"/>
      </w:pPr>
      <w:r>
        <w:t>Band B: ₦1,000,000–₦9,999,999.99.</w:t>
      </w:r>
    </w:p>
    <w:p>
      <w:pPr>
        <w:pStyle w:val="ListBullet"/>
      </w:pPr>
      <w:r>
        <w:t>Band C: ₦10,000,000 and above.</w:t>
      </w:r>
    </w:p>
    <w:p>
      <w:pPr>
        <w:pStyle w:val="ListBullet"/>
      </w:pPr>
      <w:r>
        <w:t>RTN minimums stated: ₦50,000 for individual customers and ₦250,000 for corporate customers.</w:t>
      </w:r>
    </w:p>
    <w:p>
      <w:pPr>
        <w:pStyle w:val="Heading2"/>
      </w:pPr>
      <w:r>
        <w:t>2.2 Interest paid at maturity</w:t>
      </w:r>
    </w:p>
    <w:p>
      <w:r>
        <w:t>Documented formulas:</w:t>
      </w:r>
    </w:p>
    <w:p>
      <w:pPr>
        <w:pStyle w:val="ListBullet"/>
      </w:pPr>
      <w:r>
        <w:t>Gross Interest = Principal × Annual Rate × (Actual Tenor Days ÷ 365)</w:t>
      </w:r>
    </w:p>
    <w:p>
      <w:pPr>
        <w:pStyle w:val="ListBullet"/>
      </w:pPr>
      <w:r>
        <w:t>WHT = Gross Interest × 10%</w:t>
      </w:r>
    </w:p>
    <w:p>
      <w:pPr>
        <w:pStyle w:val="ListBullet"/>
      </w:pPr>
      <w:r>
        <w:t>Net Interest = Gross Interest − WHT</w:t>
      </w:r>
    </w:p>
    <w:p>
      <w:pPr>
        <w:pStyle w:val="ListBullet"/>
      </w:pPr>
      <w:r>
        <w:t>Maturity Payout = Principal + Net Interest</w:t>
      </w:r>
    </w:p>
    <w:p>
      <w:r>
        <w:t>The source specifies 10% WHT on interest. Finance/Compliance should confirm the applicable treatment for each product and payment scenario before production expectations are finalised.</w:t>
      </w:r>
    </w:p>
    <w:p>
      <w:pPr>
        <w:pStyle w:val="Heading2"/>
      </w:pPr>
      <w:r>
        <w:t>2.3 Worked example — ₦1,000,000 for 90 days, interest at maturity</w:t>
      </w:r>
    </w:p>
    <w:tbl>
      <w:tblPr>
        <w:tblStyle w:val="LightShading-Accent1"/>
        <w:tblW w:type="auto" w:w="0"/>
        <w:jc w:val="center"/>
        <w:tblLook w:firstColumn="1" w:firstRow="1" w:lastColumn="0" w:lastRow="0" w:noHBand="0" w:noVBand="1" w:val="04A0"/>
      </w:tblPr>
      <w:tblGrid>
        <w:gridCol w:w="5040"/>
        <w:gridCol w:w="5040"/>
      </w:tblGrid>
      <w:tr>
        <w:tc>
          <w:tcPr>
            <w:tcW w:type="dxa" w:w="5040"/>
            <w:shd w:fill="1F4E79"/>
            <w:vAlign w:val="top"/>
          </w:tcPr>
          <w:p>
            <w:r>
              <w:rPr>
                <w:b/>
                <w:color w:val="FFFFFF"/>
                <w:sz w:val="16"/>
              </w:rPr>
              <w:t>Item</w:t>
            </w:r>
          </w:p>
        </w:tc>
        <w:tc>
          <w:tcPr>
            <w:tcW w:type="dxa" w:w="5040"/>
            <w:shd w:fill="1F4E79"/>
            <w:vAlign w:val="top"/>
          </w:tcPr>
          <w:p>
            <w:r>
              <w:rPr>
                <w:b/>
                <w:color w:val="FFFFFF"/>
                <w:sz w:val="16"/>
              </w:rPr>
              <w:t>Value stated in source</w:t>
            </w:r>
          </w:p>
        </w:tc>
      </w:tr>
      <w:tr>
        <w:tc>
          <w:tcPr>
            <w:tcW w:type="dxa" w:w="5040"/>
            <w:vAlign w:val="top"/>
          </w:tcPr>
          <w:p>
            <w:pPr>
              <w:spacing w:after="40"/>
            </w:pPr>
            <w:r>
              <w:rPr>
                <w:sz w:val="16"/>
              </w:rPr>
              <w:t>Principal</w:t>
            </w:r>
          </w:p>
        </w:tc>
        <w:tc>
          <w:tcPr>
            <w:tcW w:type="dxa" w:w="5040"/>
            <w:vAlign w:val="top"/>
          </w:tcPr>
          <w:p>
            <w:pPr>
              <w:spacing w:after="40"/>
            </w:pPr>
            <w:r>
              <w:rPr>
                <w:sz w:val="16"/>
              </w:rPr>
              <w:t>₦1,000,000.00</w:t>
            </w:r>
          </w:p>
        </w:tc>
      </w:tr>
      <w:tr>
        <w:tc>
          <w:tcPr>
            <w:tcW w:type="dxa" w:w="5040"/>
            <w:vAlign w:val="top"/>
          </w:tcPr>
          <w:p>
            <w:pPr>
              <w:spacing w:after="40"/>
            </w:pPr>
            <w:r>
              <w:rPr>
                <w:sz w:val="16"/>
              </w:rPr>
              <w:t>Annual rate</w:t>
            </w:r>
          </w:p>
        </w:tc>
        <w:tc>
          <w:tcPr>
            <w:tcW w:type="dxa" w:w="5040"/>
            <w:vAlign w:val="top"/>
          </w:tcPr>
          <w:p>
            <w:pPr>
              <w:spacing w:after="40"/>
            </w:pPr>
            <w:r>
              <w:rPr>
                <w:sz w:val="16"/>
              </w:rPr>
              <w:t>18.75%</w:t>
            </w:r>
          </w:p>
        </w:tc>
      </w:tr>
      <w:tr>
        <w:tc>
          <w:tcPr>
            <w:tcW w:type="dxa" w:w="5040"/>
            <w:vAlign w:val="top"/>
          </w:tcPr>
          <w:p>
            <w:pPr>
              <w:spacing w:after="40"/>
            </w:pPr>
            <w:r>
              <w:rPr>
                <w:sz w:val="16"/>
              </w:rPr>
              <w:t>Gross interest</w:t>
            </w:r>
          </w:p>
        </w:tc>
        <w:tc>
          <w:tcPr>
            <w:tcW w:type="dxa" w:w="5040"/>
            <w:vAlign w:val="top"/>
          </w:tcPr>
          <w:p>
            <w:pPr>
              <w:spacing w:after="40"/>
            </w:pPr>
            <w:r>
              <w:rPr>
                <w:sz w:val="16"/>
              </w:rPr>
              <w:t>₦46,232.88</w:t>
            </w:r>
          </w:p>
        </w:tc>
      </w:tr>
      <w:tr>
        <w:tc>
          <w:tcPr>
            <w:tcW w:type="dxa" w:w="5040"/>
            <w:vAlign w:val="top"/>
          </w:tcPr>
          <w:p>
            <w:pPr>
              <w:spacing w:after="40"/>
            </w:pPr>
            <w:r>
              <w:rPr>
                <w:sz w:val="16"/>
              </w:rPr>
              <w:t>WHT</w:t>
            </w:r>
          </w:p>
        </w:tc>
        <w:tc>
          <w:tcPr>
            <w:tcW w:type="dxa" w:w="5040"/>
            <w:vAlign w:val="top"/>
          </w:tcPr>
          <w:p>
            <w:pPr>
              <w:spacing w:after="40"/>
            </w:pPr>
            <w:r>
              <w:rPr>
                <w:sz w:val="16"/>
              </w:rPr>
              <w:t>₦4,623.29</w:t>
            </w:r>
          </w:p>
        </w:tc>
      </w:tr>
      <w:tr>
        <w:tc>
          <w:tcPr>
            <w:tcW w:type="dxa" w:w="5040"/>
            <w:vAlign w:val="top"/>
          </w:tcPr>
          <w:p>
            <w:pPr>
              <w:spacing w:after="40"/>
            </w:pPr>
            <w:r>
              <w:rPr>
                <w:sz w:val="16"/>
              </w:rPr>
              <w:t>Net interest</w:t>
            </w:r>
          </w:p>
        </w:tc>
        <w:tc>
          <w:tcPr>
            <w:tcW w:type="dxa" w:w="5040"/>
            <w:vAlign w:val="top"/>
          </w:tcPr>
          <w:p>
            <w:pPr>
              <w:spacing w:after="40"/>
            </w:pPr>
            <w:r>
              <w:rPr>
                <w:sz w:val="16"/>
              </w:rPr>
              <w:t>₦41,609.59</w:t>
            </w:r>
          </w:p>
        </w:tc>
      </w:tr>
      <w:tr>
        <w:tc>
          <w:tcPr>
            <w:tcW w:type="dxa" w:w="5040"/>
            <w:vAlign w:val="top"/>
          </w:tcPr>
          <w:p>
            <w:pPr>
              <w:spacing w:after="40"/>
            </w:pPr>
            <w:r>
              <w:rPr>
                <w:sz w:val="16"/>
              </w:rPr>
              <w:t>Maturity payout</w:t>
            </w:r>
          </w:p>
        </w:tc>
        <w:tc>
          <w:tcPr>
            <w:tcW w:type="dxa" w:w="5040"/>
            <w:vAlign w:val="top"/>
          </w:tcPr>
          <w:p>
            <w:pPr>
              <w:spacing w:after="40"/>
            </w:pPr>
            <w:r>
              <w:rPr>
                <w:sz w:val="16"/>
              </w:rPr>
              <w:t>₦1,041,609.59</w:t>
            </w:r>
          </w:p>
        </w:tc>
      </w:tr>
    </w:tbl>
    <w:p>
      <w:pPr>
        <w:pStyle w:val="Heading2"/>
      </w:pPr>
      <w:r>
        <w:t>2.4 Interest paid upfront</w:t>
      </w:r>
    </w:p>
    <w:p>
      <w:r>
        <w:t>For the same ₦1,000,000 / 90-day example, the source uses the 16.19% p.a. upfront rate and gives recalculated upfront interest of ₦34,682.41 with booked principal of ₦965,317.59. The source RTN logic reportedly rounds these to ₦34,690 and ₦965,310. This is an unresolved discrepancy (OPEN-9); do not select either as the definitive expected result until approved.</w:t>
      </w:r>
    </w:p>
    <w:p>
      <w:pPr>
        <w:pStyle w:val="Heading2"/>
      </w:pPr>
      <w:r>
        <w:t>2.5 Other RTN rules and limits</w:t>
      </w:r>
    </w:p>
    <w:p>
      <w:pPr>
        <w:pStyle w:val="ListBullet"/>
      </w:pPr>
      <w:r>
        <w:t>The source describes premature liquidation as attracting a penalty that varies with elapsed tenor; exact boundaries and all calculation details require confirmation.</w:t>
      </w:r>
    </w:p>
    <w:p>
      <w:pPr>
        <w:pStyle w:val="ListBullet"/>
      </w:pPr>
      <w:r>
        <w:t>Top-ups may change the applicable principal band, but whether the new rate applies to the full balance or only the added amount needs confirmation.</w:t>
      </w:r>
    </w:p>
    <w:p>
      <w:pPr>
        <w:pStyle w:val="ListBullet"/>
      </w:pPr>
      <w:r>
        <w:t>Rollover rates are described as using the Rate Guide in force on the rollover date; rollover principal, interest treatment and date edge cases require confirmation.</w:t>
      </w:r>
    </w:p>
    <w:p>
      <w:pPr>
        <w:pStyle w:val="ListBullet"/>
      </w:pPr>
      <w:r>
        <w:t>The quote, booking, Admin Portal/ledger, certificate, statement and payout should remain consistent for the same placement.</w:t>
      </w:r>
    </w:p>
    <w:p>
      <w:pPr>
        <w:pStyle w:val="ListBullet"/>
      </w:pPr>
      <w:r>
        <w:t>A rate combination without a published rate should not be selectable, according to the journey document.</w:t>
      </w:r>
    </w:p>
    <w:p>
      <w:pPr>
        <w:pStyle w:val="Heading1"/>
      </w:pPr>
      <w:r>
        <w:t>3. REAP — Rosabon Easy Access Plan</w:t>
      </w:r>
    </w:p>
    <w:p>
      <w:r>
        <w:t>The source describes a goal-based savings journey, including a target amount/date, contribution details and OPEN/LOCKED plan states. It states a minimum investment of ₦10,000.</w:t>
      </w:r>
    </w:p>
    <w:p>
      <w:r>
        <w:t>No approved REAP rate table or complete return formula is provided. Rate selection, interest accrual basis, contribution timing, compounding, tax treatment, maturity payout, withdrawal adjustment and penalties cannot be stated as confirmed calculation rules.</w:t>
      </w:r>
    </w:p>
    <w:p>
      <w:r>
        <w:t>Interim QA position: test journey validation, minimum handling, contribution flows, plan-state transitions, data persistence and consistency of values returned by the same service that books the plan. Do not invent expected numeric returns while the rules are unresolved.</w:t>
      </w:r>
    </w:p>
    <w:p>
      <w:pPr>
        <w:pStyle w:val="Heading1"/>
      </w:pPr>
      <w:r>
        <w:t>4. RWIN — Rosabon Wealth Investment Note</w:t>
      </w:r>
    </w:p>
    <w:p>
      <w:r>
        <w:t>The journey document states a minimum investment of ₦50,000 and describes the investment setup and plan-management journey.</w:t>
      </w:r>
    </w:p>
    <w:p>
      <w:r>
        <w:t>No approved RWIN rate table or complete calculation formula is provided. Rate selection, cycle length, interest formula, accrual timing, WHT, early exit, maturity payout, rollover and any reward/prize calculations remain unresolved in the source.</w:t>
      </w:r>
    </w:p>
    <w:p>
      <w:r>
        <w:t>An earlier QA reference mentioned a ₦20,000 RWIN minimum, which conflicts with the ₦50,000 stated in the journey document. Treat the minimum as requiring Product confirmation.</w:t>
      </w:r>
    </w:p>
    <w:p>
      <w:r>
        <w:t>Interim QA position: test the journey, validation, booking state and consistency across screens/services. Keep exact-return tests blocked until the approved formula and rate configuration are supplied.</w:t>
      </w:r>
    </w:p>
    <w:p>
      <w:pPr>
        <w:pStyle w:val="Heading1"/>
      </w:pPr>
      <w:r>
        <w:t>5. Rules common to all products</w:t>
      </w:r>
    </w:p>
    <w:p>
      <w:pPr>
        <w:pStyle w:val="ListBullet"/>
      </w:pPr>
      <w:r>
        <w:t>Confirm rounding precision and the stage at which each component is rounded.</w:t>
      </w:r>
    </w:p>
    <w:p>
      <w:pPr>
        <w:pStyle w:val="ListBullet"/>
      </w:pPr>
      <w:r>
        <w:t>Confirm tax treatment and applicable WHT with Finance/Compliance for each product.</w:t>
      </w:r>
    </w:p>
    <w:p>
      <w:pPr>
        <w:pStyle w:val="ListBullet"/>
      </w:pPr>
      <w:r>
        <w:t>Define date counting, weekends, public holidays, leap years and maturity-date handling.</w:t>
      </w:r>
    </w:p>
    <w:p>
      <w:pPr>
        <w:pStyle w:val="ListBullet"/>
      </w:pPr>
      <w:r>
        <w:t>Use an authoritative calculation/booking service and reconcile quote, booking, ledger/Admin Portal, certificate, statement and payout.</w:t>
      </w:r>
    </w:p>
    <w:p>
      <w:pPr>
        <w:pStyle w:val="ListBullet"/>
      </w:pPr>
      <w:r>
        <w:t>Define how saved quotes and in-progress investments behave when rates change.</w:t>
      </w:r>
    </w:p>
    <w:p>
      <w:pPr>
        <w:pStyle w:val="ListBullet"/>
      </w:pPr>
      <w:r>
        <w:t>Record the applied rate and calculation inputs sufficiently to reproduce the result for audit and QA.</w:t>
      </w:r>
    </w:p>
    <w:p>
      <w:pPr>
        <w:pStyle w:val="Heading1"/>
      </w:pPr>
      <w:r>
        <w:t>6. QA readiness summary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F4E79"/>
            <w:vAlign w:val="top"/>
          </w:tcPr>
          <w:p>
            <w:r>
              <w:rPr>
                <w:b/>
                <w:color w:val="FFFFFF"/>
                <w:sz w:val="16"/>
              </w:rPr>
              <w:t>Product</w:t>
            </w:r>
          </w:p>
        </w:tc>
        <w:tc>
          <w:tcPr>
            <w:tcW w:type="dxa" w:w="3360"/>
            <w:shd w:fill="1F4E79"/>
            <w:vAlign w:val="top"/>
          </w:tcPr>
          <w:p>
            <w:r>
              <w:rPr>
                <w:b/>
                <w:color w:val="FFFFFF"/>
                <w:sz w:val="16"/>
              </w:rPr>
              <w:t>Can test now</w:t>
            </w:r>
          </w:p>
        </w:tc>
        <w:tc>
          <w:tcPr>
            <w:tcW w:type="dxa" w:w="3360"/>
            <w:shd w:fill="1F4E79"/>
            <w:vAlign w:val="top"/>
          </w:tcPr>
          <w:p>
            <w:r>
              <w:rPr>
                <w:b/>
                <w:color w:val="FFFFFF"/>
                <w:sz w:val="16"/>
              </w:rPr>
              <w:t>Blocked pending approved rules</w:t>
            </w:r>
          </w:p>
        </w:tc>
      </w:tr>
      <w:tr>
        <w:tc>
          <w:tcPr>
            <w:tcW w:type="dxa" w:w="3360"/>
            <w:vAlign w:val="top"/>
          </w:tcPr>
          <w:p>
            <w:pPr>
              <w:spacing w:after="40"/>
            </w:pPr>
            <w:r>
              <w:rPr>
                <w:sz w:val="16"/>
              </w:rPr>
              <w:t>RTN</w:t>
            </w:r>
          </w:p>
        </w:tc>
        <w:tc>
          <w:tcPr>
            <w:tcW w:type="dxa" w:w="3360"/>
            <w:vAlign w:val="top"/>
          </w:tcPr>
          <w:p>
            <w:pPr>
              <w:spacing w:after="40"/>
            </w:pPr>
            <w:r>
              <w:rPr>
                <w:sz w:val="16"/>
              </w:rPr>
              <w:t>Rate selection, confirmed formulas, rate-band boundaries, quote-to-booking consistency</w:t>
            </w:r>
          </w:p>
        </w:tc>
        <w:tc>
          <w:tcPr>
            <w:tcW w:type="dxa" w:w="3360"/>
            <w:vAlign w:val="top"/>
          </w:tcPr>
          <w:p>
            <w:pPr>
              <w:spacing w:after="40"/>
            </w:pPr>
            <w:r>
              <w:rPr>
                <w:sz w:val="16"/>
              </w:rPr>
              <w:t>OPEN-9 rounding, penalty edge cases, unresolved tax/rollover/top-up behaviour</w:t>
            </w:r>
          </w:p>
        </w:tc>
      </w:tr>
      <w:tr>
        <w:tc>
          <w:tcPr>
            <w:tcW w:type="dxa" w:w="3360"/>
            <w:vAlign w:val="top"/>
          </w:tcPr>
          <w:p>
            <w:pPr>
              <w:spacing w:after="40"/>
            </w:pPr>
            <w:r>
              <w:rPr>
                <w:sz w:val="16"/>
              </w:rPr>
              <w:t>REAP</w:t>
            </w:r>
          </w:p>
        </w:tc>
        <w:tc>
          <w:tcPr>
            <w:tcW w:type="dxa" w:w="3360"/>
            <w:vAlign w:val="top"/>
          </w:tcPr>
          <w:p>
            <w:pPr>
              <w:spacing w:after="40"/>
            </w:pPr>
            <w:r>
              <w:rPr>
                <w:sz w:val="16"/>
              </w:rPr>
              <w:t>Minimum validation, contribution journey, OPEN/LOCKED transitions, data persistence and consistency</w:t>
            </w:r>
          </w:p>
        </w:tc>
        <w:tc>
          <w:tcPr>
            <w:tcW w:type="dxa" w:w="3360"/>
            <w:vAlign w:val="top"/>
          </w:tcPr>
          <w:p>
            <w:pPr>
              <w:spacing w:after="40"/>
            </w:pPr>
            <w:r>
              <w:rPr>
                <w:sz w:val="16"/>
              </w:rPr>
              <w:t>Numerical returns, accrual, maturity payout and withdrawal calculations</w:t>
            </w:r>
          </w:p>
        </w:tc>
      </w:tr>
      <w:tr>
        <w:tc>
          <w:tcPr>
            <w:tcW w:type="dxa" w:w="3360"/>
            <w:vAlign w:val="top"/>
          </w:tcPr>
          <w:p>
            <w:pPr>
              <w:spacing w:after="40"/>
            </w:pPr>
            <w:r>
              <w:rPr>
                <w:sz w:val="16"/>
              </w:rPr>
              <w:t>RWIN</w:t>
            </w:r>
          </w:p>
        </w:tc>
        <w:tc>
          <w:tcPr>
            <w:tcW w:type="dxa" w:w="3360"/>
            <w:vAlign w:val="top"/>
          </w:tcPr>
          <w:p>
            <w:pPr>
              <w:spacing w:after="40"/>
            </w:pPr>
            <w:r>
              <w:rPr>
                <w:sz w:val="16"/>
              </w:rPr>
              <w:t>Journey, booking state and consistency; minimum after Product confirmation</w:t>
            </w:r>
          </w:p>
        </w:tc>
        <w:tc>
          <w:tcPr>
            <w:tcW w:type="dxa" w:w="3360"/>
            <w:vAlign w:val="top"/>
          </w:tcPr>
          <w:p>
            <w:pPr>
              <w:spacing w:after="40"/>
            </w:pPr>
            <w:r>
              <w:rPr>
                <w:sz w:val="16"/>
              </w:rPr>
              <w:t>Rate/return formula, cycle, maturity, tax and rewards</w:t>
            </w:r>
          </w:p>
        </w:tc>
      </w:tr>
    </w:tbl>
    <w:p>
      <w:r>
        <w:t>This is a QA-oriented consolidation of source-stated rules and identified gaps, not a replacement for signed-off Product/Treasury/Finance specifications.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150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A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