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 Architecture Justification</w:t>
      </w:r>
    </w:p>
    <w:p>
      <w:r>
        <w:t>Atharva Anand | PES1UG24CS092 | Software Engineering | Problem 48</w:t>
      </w:r>
    </w:p>
    <w:p>
      <w:pPr>
        <w:pStyle w:val="Heading1"/>
      </w:pPr>
      <w:r>
        <w:t>Architecture selection</w:t>
      </w:r>
    </w:p>
    <w:p>
      <w:r>
        <w:t>We chose Layered Architecture for the Incident Escalation &amp; On-Call Rotation Engine. Presentation and ingestion components call a business layer, which uses a persistence and audit layer. Business modules share one application codebase; durable workers handle timers and delivery.</w:t>
      </w:r>
    </w:p>
    <w:p>
      <w:pPr>
        <w:pStyle w:val="Heading1"/>
      </w:pPr>
      <w:r>
        <w:t>Architectural style analysis</w:t>
      </w:r>
    </w:p>
    <w:p>
      <w:r>
        <w:t>Layered: clear module boundaries and local transactions suit this project, but the database can become a bottleneck. Microservices: notification services could scale independently, but distributed acknowledgement and timer state add consistency and operational costs. Client-server: central control is simple, but a basic single-server design limits fault tolerance and does not define internal responsibilities.</w:t>
      </w:r>
    </w:p>
    <w:p>
      <w:pPr>
        <w:pStyle w:val="Heading1"/>
      </w:pPr>
      <w:r>
        <w:t>Reason one  Correct escalation</w:t>
      </w:r>
    </w:p>
    <w:p>
      <w:r>
        <w:t>An acknowledgement must stop the five-minute P1 escalation (FR-002 and FR-004). A shared transaction updates incident state and cancels its timer. A worker locks and rechecks state before advancing a tier, avoiding competing acknowledgement and timeout updates.</w:t>
      </w:r>
    </w:p>
    <w:p>
      <w:pPr>
        <w:pStyle w:val="Heading1"/>
      </w:pPr>
      <w:r>
        <w:t>Reason two  Maintainable incident workflow</w:t>
      </w:r>
    </w:p>
    <w:p>
      <w:r>
        <w:t>Rotation rules, notification channels and post-mortem validation change independently (FR-001, FR-003 and FR-005). Named interfaces isolate these modules, so a provider adapter or rotation policy can change without rewriting the console or incident coordinator.</w:t>
      </w:r>
    </w:p>
    <w:p>
      <w:pPr>
        <w:pStyle w:val="Heading1"/>
      </w:pPr>
      <w:r>
        <w:t>Security advantage</w:t>
      </w:r>
    </w:p>
    <w:p>
      <w:r>
        <w:t>Only authenticated entry points can invoke business operations; role checks restrict schedule changes and incident actions. The data layer uses least-privilege access, TLS 1.2 or later, AES-256 at rest and tamper-evident audit retention of at least 365 days, supporting NFR-002. Layering makes these controls enforceable at defined boundaries; it does not supply encryption by itself.</w:t>
      </w:r>
    </w:p>
    <w:p>
      <w:pPr>
        <w:pStyle w:val="Heading1"/>
      </w:pPr>
      <w:r>
        <w:t>Performance benefit and trade-off</w:t>
      </w:r>
    </w:p>
    <w:p>
      <w:r>
        <w:t>Local business calls avoid repeated network hops during routing. A transactional outbox and durable workers decouple provider delays from alert ingestion. The NFR-001 target is to initiate all configured notifications within 3 seconds for 99.9% of monthly alerts at the specified 100-alert/second peak, with 99.95% availability. Replicas, database failover and load tests remain necessary; these are design targets, not measured results.</w:t>
      </w:r>
    </w:p>
    <w:p>
      <w:r>
        <w:rPr>
          <w:sz w:val="16"/>
        </w:rPr>
        <w:t>Sources: Lab 3 handout, pp. 4-7; repository requirements.md and use-case-flow.md. AI assistance: OpenAI Codex assisted with drafting and diagram preparation.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Architecture Justification</dc:title>
  <dc:subject/>
  <dc:creator>Atharva Anand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