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Times New Roman" w:hAnsi="Times New Roman"/>
          <w:b/>
          <w:color w:val="366092"/>
          <w:sz w:val="24"/>
        </w:rPr>
        <w:t>DELIVERABLE: FINAL INTEGRATED PORTFOLIO DELIVERABLE</w:t>
      </w:r>
    </w:p>
    <w:p>
      <w:pPr>
        <w:spacing w:after="240" w:line="276" w:lineRule="auto"/>
      </w:pPr>
      <w:r>
        <w:rPr>
          <w:rFonts w:ascii="Times New Roman" w:hAnsi="Times New Roman"/>
          <w:b/>
          <w:color w:val="1F497D"/>
          <w:sz w:val="48"/>
        </w:rPr>
        <w:t>Comprehensive Post-Marketing Pharmacovigilance, Experimental Simulation, and Methodological Appraisal of Semaglutide</w:t>
      </w:r>
    </w:p>
    <w:p>
      <w:pPr>
        <w:spacing w:after="720"/>
      </w:pPr>
      <w:r>
        <w:rPr>
          <w:rFonts w:ascii="Times New Roman" w:hAnsi="Times New Roman"/>
          <w:i/>
          <w:color w:val="333333"/>
          <w:sz w:val="28"/>
        </w:rPr>
        <w:t>An Integrated 4-Week Pharmaceutical Research Portfolio Investigating Neuropsychiatric Adverse Reactions</w:t>
      </w:r>
    </w:p>
    <w:p>
      <w:pPr>
        <w:spacing w:after="720"/>
      </w:pPr>
      <w:r>
        <w:rPr>
          <w:color w:val="366092"/>
        </w:rPr>
        <w:t>―――――――――――――――――――――――――――――――――――――――――――――</w:t>
      </w:r>
    </w:p>
    <w:p>
      <w:pPr>
        <w:spacing w:after="960"/>
      </w:pPr>
      <w:r>
        <w:rPr>
          <w:rFonts w:ascii="Times New Roman" w:hAnsi="Times New Roman"/>
          <w:b/>
          <w:color w:val="333333"/>
          <w:sz w:val="21"/>
        </w:rPr>
        <w:t xml:space="preserve">Researcher: </w:t>
      </w:r>
      <w:r>
        <w:rPr>
          <w:rFonts w:ascii="Times New Roman" w:hAnsi="Times New Roman"/>
          <w:b w:val="0"/>
          <w:color w:val="333333"/>
          <w:sz w:val="21"/>
        </w:rPr>
        <w:t>Aryan Ayush</w:t>
        <w:br/>
      </w:r>
      <w:r>
        <w:rPr>
          <w:rFonts w:ascii="Times New Roman" w:hAnsi="Times New Roman"/>
          <w:b/>
          <w:color w:val="333333"/>
          <w:sz w:val="21"/>
        </w:rPr>
        <w:t xml:space="preserve">Role: </w:t>
      </w:r>
      <w:r>
        <w:rPr>
          <w:rFonts w:ascii="Times New Roman" w:hAnsi="Times New Roman"/>
          <w:b w:val="0"/>
          <w:color w:val="333333"/>
          <w:sz w:val="21"/>
        </w:rPr>
        <w:t>Pharmaceutical Research Assistant</w:t>
        <w:br/>
      </w:r>
      <w:r>
        <w:rPr>
          <w:rFonts w:ascii="Times New Roman" w:hAnsi="Times New Roman"/>
          <w:b/>
          <w:color w:val="333333"/>
          <w:sz w:val="21"/>
        </w:rPr>
        <w:t xml:space="preserve">Institution / Internship: </w:t>
      </w:r>
      <w:r>
        <w:rPr>
          <w:rFonts w:ascii="Times New Roman" w:hAnsi="Times New Roman"/>
          <w:b w:val="0"/>
          <w:color w:val="333333"/>
          <w:sz w:val="21"/>
        </w:rPr>
        <w:t>Pharmaceutical Research Assistant Internship</w:t>
        <w:br/>
      </w:r>
      <w:r>
        <w:rPr>
          <w:rFonts w:ascii="Times New Roman" w:hAnsi="Times New Roman"/>
          <w:b/>
          <w:color w:val="333333"/>
          <w:sz w:val="21"/>
        </w:rPr>
        <w:t xml:space="preserve">Date: </w:t>
      </w:r>
      <w:r>
        <w:rPr>
          <w:rFonts w:ascii="Times New Roman" w:hAnsi="Times New Roman"/>
          <w:b w:val="0"/>
          <w:color w:val="333333"/>
          <w:sz w:val="21"/>
        </w:rPr>
        <w:t>September 2026</w:t>
        <w:br/>
      </w:r>
      <w:r>
        <w:rPr>
          <w:rFonts w:ascii="Times New Roman" w:hAnsi="Times New Roman"/>
          <w:b/>
          <w:color w:val="333333"/>
          <w:sz w:val="21"/>
        </w:rPr>
        <w:t xml:space="preserve">Framework: </w:t>
      </w:r>
      <w:r>
        <w:rPr>
          <w:rFonts w:ascii="Times New Roman" w:hAnsi="Times New Roman"/>
          <w:b w:val="0"/>
          <w:color w:val="333333"/>
          <w:sz w:val="21"/>
        </w:rPr>
        <w:t>AntiGravity Enterprise Framework v2.0</w:t>
        <w:br/>
      </w:r>
      <w:r>
        <w:rPr>
          <w:rFonts w:ascii="Times New Roman" w:hAnsi="Times New Roman"/>
          <w:b/>
          <w:color w:val="333333"/>
          <w:sz w:val="21"/>
        </w:rPr>
        <w:t xml:space="preserve">Citation Style: </w:t>
      </w:r>
      <w:r>
        <w:rPr>
          <w:rFonts w:ascii="Times New Roman" w:hAnsi="Times New Roman"/>
          <w:b w:val="0"/>
          <w:color w:val="333333"/>
          <w:sz w:val="21"/>
        </w:rPr>
        <w:t>American Psychological Association (APA) 7th Edition</w:t>
        <w:br/>
      </w:r>
    </w:p>
    <w:p>
      <w:r>
        <w:br w:type="page"/>
      </w:r>
    </w:p>
    <w:p>
      <w:pPr>
        <w:keepNext/>
        <w:spacing w:before="360" w:after="120"/>
      </w:pPr>
      <w:r>
        <w:rPr>
          <w:rFonts w:ascii="Times New Roman" w:hAnsi="Times New Roman"/>
          <w:b/>
          <w:color w:val="1F497D"/>
          <w:sz w:val="32"/>
        </w:rPr>
        <w:t>Table of Contents</w:t>
      </w:r>
    </w:p>
    <w:p>
      <w:pPr>
        <w:spacing w:after="40"/>
      </w:pPr>
      <w:r>
        <w:rPr>
          <w:rFonts w:ascii="Times New Roman" w:hAnsi="Times New Roman"/>
          <w:b/>
          <w:color w:val="1F497D"/>
          <w:sz w:val="20"/>
        </w:rPr>
        <w:t>1. Abstract</w:t>
      </w:r>
    </w:p>
    <w:p>
      <w:pPr>
        <w:spacing w:after="40"/>
      </w:pPr>
      <w:r>
        <w:rPr>
          <w:rFonts w:ascii="Times New Roman" w:hAnsi="Times New Roman"/>
          <w:b/>
          <w:color w:val="1F497D"/>
          <w:sz w:val="20"/>
        </w:rPr>
        <w:t>2. Introduction &amp; Pharmacological Context</w:t>
      </w:r>
    </w:p>
    <w:p>
      <w:pPr>
        <w:spacing w:after="40"/>
      </w:pPr>
      <w:r>
        <w:rPr>
          <w:rFonts w:ascii="Times New Roman" w:hAnsi="Times New Roman"/>
          <w:b/>
          <w:color w:val="1F497D"/>
          <w:sz w:val="20"/>
        </w:rPr>
        <w:t>3. Research Problem Statement &amp; Public Health Significance</w:t>
      </w:r>
    </w:p>
    <w:p>
      <w:pPr>
        <w:spacing w:after="40"/>
      </w:pPr>
      <w:r>
        <w:rPr>
          <w:rFonts w:ascii="Times New Roman" w:hAnsi="Times New Roman"/>
          <w:b/>
          <w:color w:val="1F497D"/>
          <w:sz w:val="20"/>
        </w:rPr>
        <w:t>4. Systematic Literature Review &amp; Evidence Synthesis</w:t>
      </w:r>
    </w:p>
    <w:p>
      <w:pPr>
        <w:spacing w:after="40"/>
      </w:pPr>
      <w:r>
        <w:rPr>
          <w:rFonts w:ascii="Times New Roman" w:hAnsi="Times New Roman"/>
          <w:sz w:val="20"/>
        </w:rPr>
        <w:t xml:space="preserve">    4.1 Search Strategy and Eligibility Framework</w:t>
      </w:r>
    </w:p>
    <w:p>
      <w:pPr>
        <w:spacing w:after="40"/>
      </w:pPr>
      <w:r>
        <w:rPr>
          <w:rFonts w:ascii="Times New Roman" w:hAnsi="Times New Roman"/>
          <w:sz w:val="20"/>
        </w:rPr>
        <w:t xml:space="preserve">    4.2 Evidence Matrix of 17 Verified Scholarly Studies</w:t>
      </w:r>
    </w:p>
    <w:p>
      <w:pPr>
        <w:spacing w:after="40"/>
      </w:pPr>
      <w:r>
        <w:rPr>
          <w:rFonts w:ascii="Times New Roman" w:hAnsi="Times New Roman"/>
          <w:sz w:val="20"/>
        </w:rPr>
        <w:t xml:space="preserve">    4.3 Synthesis of Conflicting Evidence: Spontaneous Signals vs. EHR Cohorts</w:t>
      </w:r>
    </w:p>
    <w:p>
      <w:pPr>
        <w:spacing w:after="40"/>
      </w:pPr>
      <w:r>
        <w:rPr>
          <w:rFonts w:ascii="Times New Roman" w:hAnsi="Times New Roman"/>
          <w:b/>
          <w:color w:val="1F497D"/>
          <w:sz w:val="20"/>
        </w:rPr>
        <w:t>5. Identification of Core Research Gaps</w:t>
      </w:r>
    </w:p>
    <w:p>
      <w:pPr>
        <w:spacing w:after="40"/>
      </w:pPr>
      <w:r>
        <w:rPr>
          <w:rFonts w:ascii="Times New Roman" w:hAnsi="Times New Roman"/>
          <w:b/>
          <w:color w:val="1F497D"/>
          <w:sz w:val="20"/>
        </w:rPr>
        <w:t>6. Research Questions and Formal Hypotheses</w:t>
      </w:r>
    </w:p>
    <w:p>
      <w:pPr>
        <w:spacing w:after="40"/>
      </w:pPr>
      <w:r>
        <w:rPr>
          <w:rFonts w:ascii="Times New Roman" w:hAnsi="Times New Roman"/>
          <w:sz w:val="20"/>
        </w:rPr>
        <w:t xml:space="preserve">    6.1 PICO Structure and Primary Inquiry</w:t>
      </w:r>
    </w:p>
    <w:p>
      <w:pPr>
        <w:spacing w:after="40"/>
      </w:pPr>
      <w:r>
        <w:rPr>
          <w:rFonts w:ascii="Times New Roman" w:hAnsi="Times New Roman"/>
          <w:sz w:val="20"/>
        </w:rPr>
        <w:t xml:space="preserve">    6.2 Null and Alternative Hypotheses</w:t>
      </w:r>
    </w:p>
    <w:p>
      <w:pPr>
        <w:spacing w:after="40"/>
      </w:pPr>
      <w:r>
        <w:rPr>
          <w:rFonts w:ascii="Times New Roman" w:hAnsi="Times New Roman"/>
          <w:b/>
          <w:color w:val="1F497D"/>
          <w:sz w:val="20"/>
        </w:rPr>
        <w:t>7. Investigation Objectives (Primary &amp; Secondary)</w:t>
      </w:r>
    </w:p>
    <w:p>
      <w:pPr>
        <w:spacing w:after="40"/>
      </w:pPr>
      <w:r>
        <w:rPr>
          <w:rFonts w:ascii="Times New Roman" w:hAnsi="Times New Roman"/>
          <w:b/>
          <w:color w:val="1F497D"/>
          <w:sz w:val="20"/>
        </w:rPr>
        <w:t>8. Public Data Collection &amp; Preprocessing Methodology</w:t>
      </w:r>
    </w:p>
    <w:p>
      <w:pPr>
        <w:spacing w:after="40"/>
      </w:pPr>
      <w:r>
        <w:rPr>
          <w:rFonts w:ascii="Times New Roman" w:hAnsi="Times New Roman"/>
          <w:sz w:val="20"/>
        </w:rPr>
        <w:t xml:space="preserve">    8.1 FDA Adverse Event Reporting System (FAERS) Architecture</w:t>
      </w:r>
    </w:p>
    <w:p>
      <w:pPr>
        <w:spacing w:after="40"/>
      </w:pPr>
      <w:r>
        <w:rPr>
          <w:rFonts w:ascii="Times New Roman" w:hAnsi="Times New Roman"/>
          <w:sz w:val="20"/>
        </w:rPr>
        <w:t xml:space="preserve">    8.2 OpenFDA API Extraction and Data Cleaning</w:t>
      </w:r>
    </w:p>
    <w:p>
      <w:pPr>
        <w:spacing w:after="40"/>
      </w:pPr>
      <w:r>
        <w:rPr>
          <w:rFonts w:ascii="Times New Roman" w:hAnsi="Times New Roman"/>
          <w:b/>
          <w:color w:val="1F497D"/>
          <w:sz w:val="20"/>
        </w:rPr>
        <w:t>9. Statistical Analysis Methodology</w:t>
      </w:r>
    </w:p>
    <w:p>
      <w:pPr>
        <w:spacing w:after="40"/>
      </w:pPr>
      <w:r>
        <w:rPr>
          <w:rFonts w:ascii="Times New Roman" w:hAnsi="Times New Roman"/>
          <w:sz w:val="20"/>
        </w:rPr>
        <w:t xml:space="preserve">    9.1 2x2 Contingency Table Modeling</w:t>
      </w:r>
    </w:p>
    <w:p>
      <w:pPr>
        <w:spacing w:after="40"/>
      </w:pPr>
      <w:r>
        <w:rPr>
          <w:rFonts w:ascii="Times New Roman" w:hAnsi="Times New Roman"/>
          <w:sz w:val="20"/>
        </w:rPr>
        <w:t xml:space="preserve">    9.2 Mathematical Formulation of Disproportionality (ROR, PRR, Chi-Square)</w:t>
      </w:r>
    </w:p>
    <w:p>
      <w:pPr>
        <w:spacing w:after="40"/>
      </w:pPr>
      <w:r>
        <w:rPr>
          <w:rFonts w:ascii="Times New Roman" w:hAnsi="Times New Roman"/>
          <w:sz w:val="20"/>
        </w:rPr>
        <w:t xml:space="preserve">    9.3 Signal Detection Threshold Benchmarks</w:t>
      </w:r>
    </w:p>
    <w:p>
      <w:pPr>
        <w:spacing w:after="40"/>
      </w:pPr>
      <w:r>
        <w:rPr>
          <w:rFonts w:ascii="Times New Roman" w:hAnsi="Times New Roman"/>
          <w:b/>
          <w:color w:val="1F497D"/>
          <w:sz w:val="20"/>
        </w:rPr>
        <w:t>10. Empirical Findings &amp; Pharmacovigilance Signals</w:t>
      </w:r>
    </w:p>
    <w:p>
      <w:pPr>
        <w:spacing w:after="40"/>
      </w:pPr>
      <w:r>
        <w:rPr>
          <w:rFonts w:ascii="Times New Roman" w:hAnsi="Times New Roman"/>
          <w:sz w:val="20"/>
        </w:rPr>
        <w:t xml:space="preserve">    10.1 Comparative Reporting Volumes and Event Rates</w:t>
      </w:r>
    </w:p>
    <w:p>
      <w:pPr>
        <w:spacing w:after="40"/>
      </w:pPr>
      <w:r>
        <w:rPr>
          <w:rFonts w:ascii="Times New Roman" w:hAnsi="Times New Roman"/>
          <w:sz w:val="20"/>
        </w:rPr>
        <w:t xml:space="preserve">    10.2 Comprehensive Disproportionality Analysis Table</w:t>
      </w:r>
    </w:p>
    <w:p>
      <w:pPr>
        <w:spacing w:after="40"/>
      </w:pPr>
      <w:r>
        <w:rPr>
          <w:rFonts w:ascii="Times New Roman" w:hAnsi="Times New Roman"/>
          <w:sz w:val="20"/>
        </w:rPr>
        <w:t xml:space="preserve">    10.3 High-Resolution Analytical Visualizations (Figures 1-6)</w:t>
      </w:r>
    </w:p>
    <w:p>
      <w:pPr>
        <w:spacing w:after="40"/>
      </w:pPr>
      <w:r>
        <w:rPr>
          <w:rFonts w:ascii="Times New Roman" w:hAnsi="Times New Roman"/>
          <w:b/>
          <w:color w:val="1F497D"/>
          <w:sz w:val="20"/>
        </w:rPr>
        <w:t>11. Simulated Prospective Experimental Design</w:t>
      </w:r>
    </w:p>
    <w:p>
      <w:pPr>
        <w:spacing w:after="40"/>
      </w:pPr>
      <w:r>
        <w:rPr>
          <w:rFonts w:ascii="Times New Roman" w:hAnsi="Times New Roman"/>
          <w:sz w:val="20"/>
        </w:rPr>
        <w:t xml:space="preserve">    11.1 Active-Surveillance Cohort Rationale (N = 2,000)</w:t>
      </w:r>
    </w:p>
    <w:p>
      <w:pPr>
        <w:spacing w:after="40"/>
      </w:pPr>
      <w:r>
        <w:rPr>
          <w:rFonts w:ascii="Times New Roman" w:hAnsi="Times New Roman"/>
          <w:sz w:val="20"/>
        </w:rPr>
        <w:t xml:space="preserve">    11.2 Active SGLT2 Inhibitor Comparator Strategy</w:t>
      </w:r>
    </w:p>
    <w:p>
      <w:pPr>
        <w:spacing w:after="40"/>
      </w:pPr>
      <w:r>
        <w:rPr>
          <w:rFonts w:ascii="Times New Roman" w:hAnsi="Times New Roman"/>
          <w:sz w:val="20"/>
        </w:rPr>
        <w:t xml:space="preserve">    11.3 Psychometric Rating Scales and Clinical Endpoints</w:t>
      </w:r>
    </w:p>
    <w:p>
      <w:pPr>
        <w:spacing w:after="40"/>
      </w:pPr>
      <w:r>
        <w:rPr>
          <w:rFonts w:ascii="Times New Roman" w:hAnsi="Times New Roman"/>
          <w:sz w:val="20"/>
        </w:rPr>
        <w:t xml:space="preserve">    11.4 Clinical Workflow Diagram (Figure 7)</w:t>
      </w:r>
    </w:p>
    <w:p>
      <w:pPr>
        <w:spacing w:after="40"/>
      </w:pPr>
      <w:r>
        <w:rPr>
          <w:rFonts w:ascii="Times New Roman" w:hAnsi="Times New Roman"/>
          <w:sz w:val="20"/>
        </w:rPr>
        <w:t xml:space="preserve">    11.5 Safety Protocols, Stopping Rules, and DSMB Oversight</w:t>
      </w:r>
    </w:p>
    <w:p>
      <w:pPr>
        <w:spacing w:after="40"/>
      </w:pPr>
      <w:r>
        <w:rPr>
          <w:rFonts w:ascii="Times New Roman" w:hAnsi="Times New Roman"/>
          <w:b/>
          <w:color w:val="1F497D"/>
          <w:sz w:val="20"/>
        </w:rPr>
        <w:t>12. Critical Methodological Appraisal of the STEP 1 Clinical Trial</w:t>
      </w:r>
    </w:p>
    <w:p>
      <w:pPr>
        <w:spacing w:after="40"/>
      </w:pPr>
      <w:r>
        <w:rPr>
          <w:rFonts w:ascii="Times New Roman" w:hAnsi="Times New Roman"/>
          <w:sz w:val="20"/>
        </w:rPr>
        <w:t xml:space="preserve">    12.1 Overview of Landmark Publication (Wilding et al., 2021, NEJM)</w:t>
      </w:r>
    </w:p>
    <w:p>
      <w:pPr>
        <w:spacing w:after="40"/>
      </w:pPr>
      <w:r>
        <w:rPr>
          <w:rFonts w:ascii="Times New Roman" w:hAnsi="Times New Roman"/>
          <w:sz w:val="20"/>
        </w:rPr>
        <w:t xml:space="preserve">    12.2 13-Component CONSORT/ICH Appraisal Matrix</w:t>
      </w:r>
    </w:p>
    <w:p>
      <w:pPr>
        <w:spacing w:after="40"/>
      </w:pPr>
      <w:r>
        <w:rPr>
          <w:rFonts w:ascii="Times New Roman" w:hAnsi="Times New Roman"/>
          <w:sz w:val="20"/>
        </w:rPr>
        <w:t xml:space="preserve">    12.3 Root Cause Analysis of Pre-Approval Safety Blindspots</w:t>
      </w:r>
    </w:p>
    <w:p>
      <w:pPr>
        <w:spacing w:after="40"/>
      </w:pPr>
      <w:r>
        <w:rPr>
          <w:rFonts w:ascii="Times New Roman" w:hAnsi="Times New Roman"/>
          <w:b/>
          <w:color w:val="1F497D"/>
          <w:sz w:val="20"/>
        </w:rPr>
        <w:t>13. Integrated Cross-Week Discussion</w:t>
      </w:r>
    </w:p>
    <w:p>
      <w:pPr>
        <w:spacing w:after="40"/>
      </w:pPr>
      <w:r>
        <w:rPr>
          <w:rFonts w:ascii="Times New Roman" w:hAnsi="Times New Roman"/>
          <w:b/>
          <w:color w:val="1F497D"/>
          <w:sz w:val="20"/>
        </w:rPr>
        <w:t>14. Methodological Strengths &amp; Study Limitations</w:t>
      </w:r>
    </w:p>
    <w:p>
      <w:pPr>
        <w:spacing w:after="40"/>
      </w:pPr>
      <w:r>
        <w:rPr>
          <w:rFonts w:ascii="Times New Roman" w:hAnsi="Times New Roman"/>
          <w:b/>
          <w:color w:val="1F497D"/>
          <w:sz w:val="20"/>
        </w:rPr>
        <w:t>15. Future Research Directions &amp; Translational Policy Recommendations</w:t>
      </w:r>
    </w:p>
    <w:p>
      <w:pPr>
        <w:spacing w:after="40"/>
      </w:pPr>
      <w:r>
        <w:rPr>
          <w:rFonts w:ascii="Times New Roman" w:hAnsi="Times New Roman"/>
          <w:b/>
          <w:color w:val="1F497D"/>
          <w:sz w:val="20"/>
        </w:rPr>
        <w:t>16. Concluding Remarks</w:t>
      </w:r>
    </w:p>
    <w:p>
      <w:pPr>
        <w:spacing w:after="40"/>
      </w:pPr>
      <w:r>
        <w:rPr>
          <w:rFonts w:ascii="Times New Roman" w:hAnsi="Times New Roman"/>
          <w:b/>
          <w:color w:val="1F497D"/>
          <w:sz w:val="20"/>
        </w:rPr>
        <w:t>17. Master References (APA 7th Edition)</w:t>
      </w:r>
    </w:p>
    <w:p>
      <w:pPr>
        <w:spacing w:after="40"/>
      </w:pPr>
      <w:r>
        <w:rPr>
          <w:rFonts w:ascii="Times New Roman" w:hAnsi="Times New Roman"/>
          <w:b/>
          <w:color w:val="1F497D"/>
          <w:sz w:val="20"/>
        </w:rPr>
        <w:t>18. Appendices (Data Dictionary &amp; Regulatory Verification Index)</w:t>
      </w:r>
    </w:p>
    <w:p>
      <w:r>
        <w:br w:type="page"/>
      </w:r>
    </w:p>
    <w:p>
      <w:pPr>
        <w:keepNext/>
        <w:spacing w:before="360" w:after="120"/>
      </w:pPr>
      <w:r>
        <w:rPr>
          <w:rFonts w:ascii="Times New Roman" w:hAnsi="Times New Roman"/>
          <w:b/>
          <w:color w:val="1F497D"/>
          <w:sz w:val="32"/>
        </w:rPr>
        <w:t>1. Abstract</w:t>
      </w:r>
    </w:p>
    <w:p>
      <w:r>
        <w:t>Background: Semaglutide, an incretin-mimetic glucagon-like peptide-1 receptor agonist (GLP-1 RA), has achieved unprecedented global adoption for type 2 diabetes and obesity management. However, post-marketing safety alerts concerning potential neuropsychiatric adverse reactions have prompted international regulatory scrutiny, while observational electronic health record (EHR) studies have reported conflicting, protective associations.</w:t>
      </w:r>
    </w:p>
    <w:p>
      <w:r>
        <w:t>Methods: This four-week research portfolio executes a unified, multi-methodological investigation: (1) systematic evidence synthesis across 17 peer-reviewed publications; (2) empirical disproportionality analysis of 100,912 semaglutide reports versus 47,266 active comparator SGLT2 inhibitor reports in the FDA Adverse Event Reporting System (FAERS) (2018–2025) across seven MedDRA psychiatric preferred terms; (3) development of a 12-month simulated prospective active-surveillance cohort protocol (N = 2,000) incorporating validated psychometric rating scales (PHQ-9, C-SSRS); and (4) critical CONSORT-guided methodological appraisal of the pivotal Phase 3 STEP 1 trial (Wilding et al., 2021, NEJM).</w:t>
      </w:r>
    </w:p>
    <w:p>
      <w:r>
        <w:t>Results: In FAERS disproportionality modeling, semaglutide exhibited statistically significant safety signals for suicidal ideation (ROR = 2.61, 95% CI: 2.18–3.12, PRR = 2.60, Chi2 = 116.35, p = 3.98e-27), panic attack (ROR = 4.40, 95% CI: 2.96–6.54, PRR = 4.39, Chi2 = 62.94), and depressed mood (ROR = 2.11, 95% CI: 1.72–2.58, PRR = 2.10, Chi2 = 54.23). In contrast, suicide attempt (ROR = 0.67) and insomnia (ROR = 0.96) did not meet signal criteria. Methodological evaluation of STEP 1 identified systematic exclusion of psychiatric comorbidity and reliance on passive adverse event capture as the primary structural reasons pre-approval RCTs failed to detect these real-world signals.</w:t>
      </w:r>
    </w:p>
    <w:p>
      <w:r>
        <w:t>Conclusions: Spontaneous pharmacovigilance confirms disproportionate post-marketing reporting of affective and suicidal symptoms with semaglutide. However, because spontaneous reporting is susceptible to notoriety bias and lacks denominator exposure, prospective active-surveillance with active comparators is essential to establish true clinical incidence and protect vulnerable patient populations.</w:t>
      </w:r>
    </w:p>
    <w:p>
      <w:pPr>
        <w:spacing w:before="120" w:after="160"/>
        <w:ind w:left="432" w:right="432"/>
      </w:pPr>
      <w:r>
        <w:rPr>
          <w:b/>
          <w:color w:val="1F497D"/>
        </w:rPr>
        <w:t xml:space="preserve">[NOTE] </w:t>
      </w:r>
      <w:r>
        <w:rPr>
          <w:i/>
          <w:color w:val="333333"/>
        </w:rPr>
        <w:t>Portfolio Thesis: Pre-approval clinical trials prioritize efficacy in highly selected, psychiatrically resilient cohorts, creating systemic safety blindspots. Spontaneous reporting systems detect these emergent signals post-marketing, providing the empirical foundation for rigorously powered prospective active-surveillance investigations.</w:t>
      </w:r>
    </w:p>
    <w:p>
      <w:pPr>
        <w:keepNext/>
        <w:spacing w:before="360" w:after="120"/>
      </w:pPr>
      <w:r>
        <w:rPr>
          <w:rFonts w:ascii="Times New Roman" w:hAnsi="Times New Roman"/>
          <w:b/>
          <w:color w:val="1F497D"/>
          <w:sz w:val="32"/>
        </w:rPr>
        <w:t>2. Introduction &amp; Pharmacological Context</w:t>
      </w:r>
    </w:p>
    <w:p>
      <w:r>
        <w:t>Glucagon-like peptide-1 receptor agonists (GLP-1 RAs) represent one of the most transformative drug classes of the 21st century. By binding to native GLP-1 receptors in pancreatic beta cells and the central nervous system, semaglutide stimulates glucose-dependent insulin release, inhibits glucagon secretion, retards gastric emptying, and centrally modulates satiety pathways within the arcuate nucleus and area postrema of the brain. Available in once-weekly subcutaneous injections for diabetes (Ozempic) and obesity (Wegovy), as well as an oral formulation (Rybelsus), semaglutide exposure has expanded to tens of millions of patients worldwide.</w:t>
      </w:r>
    </w:p>
    <w:p>
      <w:r>
        <w:t>Despite extraordinary clinical benefits—including substantial glycemic improvement, 15% mean body weight reductions, and documented cardiovascular risk mitigation—the rapid expansion of therapy into diverse, non-trial populations has been accompanied by emergent safety concerns. Most prominent among these are reports of depressive episodes, anxiety, emotional blunting, and suicidal ideation, triggering urgent safety evaluations by the FDA and the European Medicines Agency (EMA).</w:t>
      </w:r>
    </w:p>
    <w:p>
      <w:pPr>
        <w:keepNext/>
        <w:spacing w:before="360" w:after="120"/>
      </w:pPr>
      <w:r>
        <w:rPr>
          <w:rFonts w:ascii="Times New Roman" w:hAnsi="Times New Roman"/>
          <w:b/>
          <w:color w:val="1F497D"/>
          <w:sz w:val="32"/>
        </w:rPr>
        <w:t>3. Research Problem Statement &amp; Public Health Significance</w:t>
      </w:r>
    </w:p>
    <w:p>
      <w:r>
        <w:t>The fundamental clinical and regulatory dilemma is whether semaglutide directly induces neuropsychiatric adverse reactions through central nervous system receptor interactions, or whether observed safety reports reflect confounding by indication (obesity and diabetes carrying high baseline depression rates), notoriety bias (surge in reporting stimulated by intense international media publicity), or rapid lifestyle and neurochemical adjustments following dramatic weight reduction. Differentiating true pharmacological risk from observational artifacts is an urgent public health imperative to prevent unnecessary medication discontinuations while ensuring robust patient safeguards.</w:t>
      </w:r>
    </w:p>
    <w:p>
      <w:pPr>
        <w:keepNext/>
        <w:spacing w:before="360" w:after="120"/>
      </w:pPr>
      <w:r>
        <w:rPr>
          <w:rFonts w:ascii="Times New Roman" w:hAnsi="Times New Roman"/>
          <w:b/>
          <w:color w:val="1F497D"/>
          <w:sz w:val="32"/>
        </w:rPr>
        <w:t>4. Systematic Literature Review &amp; Evidence Synthesis</w:t>
      </w:r>
    </w:p>
    <w:p>
      <w:r>
        <w:t>A rigorous systematic review of scholarly literature published between 2020 and 2026 was conducted across PubMed, MEDLINE, and regulatory registers. Seventeen peer-reviewed studies met strict inclusion criteria, comprising spontaneous pharmacovigilance studies, randomized clinical trial safety updates, real-world target-trial emulation cohorts, and reporting guideline frameworks (READUS-PV; Khouri et al., 2024).</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2340"/>
        <w:gridCol w:w="2340"/>
        <w:gridCol w:w="2340"/>
        <w:gridCol w:w="2340"/>
      </w:tblGrid>
      <w:tr>
        <w:tc>
          <w:tcPr>
            <w:tcW w:type="dxa" w:w="1440"/>
            <w:shd w:fill="1F497D"/>
            <w:tcMar>
              <w:top w:w="140" w:type="dxa"/>
              <w:bottom w:w="140" w:type="dxa"/>
              <w:left w:w="180" w:type="dxa"/>
              <w:right w:w="180" w:type="dxa"/>
            </w:tcMar>
            <w:vAlign w:val="center"/>
          </w:tcPr>
          <w:p>
            <w:pPr>
              <w:jc w:val="left"/>
            </w:pPr>
            <w:r>
              <w:rPr>
                <w:rFonts w:ascii="Times New Roman" w:hAnsi="Times New Roman"/>
                <w:b/>
                <w:color w:val="FFFFFF"/>
                <w:sz w:val="20"/>
              </w:rPr>
              <w:t>PMID</w:t>
            </w:r>
          </w:p>
        </w:tc>
        <w:tc>
          <w:tcPr>
            <w:tcW w:type="dxa" w:w="2016"/>
            <w:shd w:fill="1F497D"/>
            <w:tcMar>
              <w:top w:w="140" w:type="dxa"/>
              <w:bottom w:w="140" w:type="dxa"/>
              <w:left w:w="180" w:type="dxa"/>
              <w:right w:w="180" w:type="dxa"/>
            </w:tcMar>
            <w:vAlign w:val="center"/>
          </w:tcPr>
          <w:p>
            <w:pPr>
              <w:jc w:val="left"/>
            </w:pPr>
            <w:r>
              <w:rPr>
                <w:rFonts w:ascii="Times New Roman" w:hAnsi="Times New Roman"/>
                <w:b/>
                <w:color w:val="FFFFFF"/>
                <w:sz w:val="20"/>
              </w:rPr>
              <w:t>Author / Year</w:t>
            </w:r>
          </w:p>
        </w:tc>
        <w:tc>
          <w:tcPr>
            <w:tcW w:type="dxa" w:w="2592"/>
            <w:shd w:fill="1F497D"/>
            <w:tcMar>
              <w:top w:w="140" w:type="dxa"/>
              <w:bottom w:w="140" w:type="dxa"/>
              <w:left w:w="180" w:type="dxa"/>
              <w:right w:w="180" w:type="dxa"/>
            </w:tcMar>
            <w:vAlign w:val="center"/>
          </w:tcPr>
          <w:p>
            <w:pPr>
              <w:jc w:val="left"/>
            </w:pPr>
            <w:r>
              <w:rPr>
                <w:rFonts w:ascii="Times New Roman" w:hAnsi="Times New Roman"/>
                <w:b/>
                <w:color w:val="FFFFFF"/>
                <w:sz w:val="20"/>
              </w:rPr>
              <w:t>Journal</w:t>
            </w:r>
          </w:p>
        </w:tc>
        <w:tc>
          <w:tcPr>
            <w:tcW w:type="dxa" w:w="3312"/>
            <w:shd w:fill="1F497D"/>
            <w:tcMar>
              <w:top w:w="140" w:type="dxa"/>
              <w:bottom w:w="140" w:type="dxa"/>
              <w:left w:w="180" w:type="dxa"/>
              <w:right w:w="180" w:type="dxa"/>
            </w:tcMar>
            <w:vAlign w:val="center"/>
          </w:tcPr>
          <w:p>
            <w:pPr>
              <w:jc w:val="left"/>
            </w:pPr>
            <w:r>
              <w:rPr>
                <w:rFonts w:ascii="Times New Roman" w:hAnsi="Times New Roman"/>
                <w:b/>
                <w:color w:val="FFFFFF"/>
                <w:sz w:val="20"/>
              </w:rPr>
              <w:t>Key Findings &amp; Contribution</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38887555</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Frontiers in Pharmacology</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Different ADR profiles for oral vs subcutaneous routes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39502525</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Frontiers in Pharmacology</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Social media captures ADRs not in FAERS</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38943656</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J Diabetes Investig</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Multiple disproportionate signals across organ systems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39922760</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(2025)</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Obesity Res Clin Pract</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Significant NAION signal</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39221363</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Cureus</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Patterns of serious adverse events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40523410</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(2025)</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J Affect Disord</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Depression and suicidality signals identified</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38713347</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Drug Safety</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14-item reporting checklist for disproportionality analyses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33567185</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Wilding et al. (2021)</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NEJM</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14.9% weight reduction, GI adverse events</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39163046</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JAMA Network Open</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Suicidal ideation signal with antidepressant co-prescription</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38087976</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Expert Opin Drug Saf</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Disproportionate reporting but no causal link (Bradford Hill)</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38182782</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Nature Medicine</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LOWER risk (contradicts FAERS)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39767190</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Diagnostics</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Strong GI ADR association</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39267168</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BMC Pharmacol Toxicol</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Pancreatitis signals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39040467</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Front Pharmacol</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Dehydration and hypoglycemia profiles</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39578328</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(2025)</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Endocrine</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Retinopathy and visual impairment signals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38925559</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JEADV</w:t>
            </w:r>
          </w:p>
        </w:tc>
        <w:tc>
          <w:tcPr>
            <w:tcW w:type="dxa" w:w="3312"/>
            <w:shd w:fill="FFFFFF"/>
            <w:tcMar>
              <w:top w:w="100" w:type="dxa"/>
              <w:bottom w:w="100" w:type="dxa"/>
              <w:left w:w="150" w:type="dxa"/>
              <w:right w:w="150" w:type="dxa"/>
            </w:tcMar>
            <w:vAlign w:val="center"/>
          </w:tcPr>
          <w:p>
            <w:r>
              <w:rPr>
                <w:rFonts w:ascii="Times New Roman" w:hAnsi="Times New Roman"/>
                <w:color w:val="333333"/>
                <w:sz w:val="19"/>
              </w:rPr>
              <w:t>Significant alopecia signal</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40787040</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Author (2025)</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JAAD Case Reports</w:t>
            </w:r>
          </w:p>
        </w:tc>
        <w:tc>
          <w:tcPr>
            <w:tcW w:type="dxa" w:w="3312"/>
            <w:shd w:fill="F2F4F7"/>
            <w:tcMar>
              <w:top w:w="100" w:type="dxa"/>
              <w:bottom w:w="100" w:type="dxa"/>
              <w:left w:w="150" w:type="dxa"/>
              <w:right w:w="150" w:type="dxa"/>
            </w:tcMar>
            <w:vAlign w:val="center"/>
          </w:tcPr>
          <w:p>
            <w:r>
              <w:rPr>
                <w:rFonts w:ascii="Times New Roman" w:hAnsi="Times New Roman"/>
                <w:color w:val="333333"/>
                <w:sz w:val="19"/>
              </w:rPr>
              <w:t>Clinical cases corroborate FAERS alopecia signal</w:t>
            </w:r>
          </w:p>
        </w:tc>
      </w:tr>
    </w:tbl>
    <w:p/>
    <w:p>
      <w:pPr>
        <w:keepNext/>
        <w:spacing w:before="240" w:after="80"/>
      </w:pPr>
      <w:r>
        <w:rPr>
          <w:rFonts w:ascii="Times New Roman" w:hAnsi="Times New Roman"/>
          <w:b/>
          <w:color w:val="366092"/>
          <w:sz w:val="26"/>
        </w:rPr>
        <w:t>4.3 Synthesis of Conflicting Evidence</w:t>
      </w:r>
    </w:p>
    <w:p>
      <w:r>
        <w:t>Critical synthesis reveals an extraordinary scientific paradox in modern pharmacoepidemiology:</w:t>
        <w:br/>
        <w:t>• Spontaneous Reporting Databases: Analyses of FAERS and WHO VigiBase (Schoretsanitis et al., 2024; McIntyre et al., 2024) identify consistent disproportionality signals for suicidal ideation, particularly in patients co-prescribed antidepressants.</w:t>
        <w:br/>
        <w:t>• Target-Trial Emulation Cohorts: A landmark study by Wang et al. (2024, Nature Medicine) evaluating electronic health records of over 1.8 million patients found that semaglutide was associated with a 49% to 73% lower risk of suicidal ideation relative to non-GLP-1 comparators. This sharp divergence underscores how voluntary reporting, notoriety bias, and unmeasured confounding distort spontaneous pharmacovigilance data.</w:t>
      </w:r>
    </w:p>
    <w:p>
      <w:pPr>
        <w:keepNext/>
        <w:spacing w:before="360" w:after="120"/>
      </w:pPr>
      <w:r>
        <w:rPr>
          <w:rFonts w:ascii="Times New Roman" w:hAnsi="Times New Roman"/>
          <w:b/>
          <w:color w:val="1F497D"/>
          <w:sz w:val="32"/>
        </w:rPr>
        <w:t>5. Identification of Core Research Gaps</w:t>
      </w:r>
    </w:p>
    <w:p>
      <w:r>
        <w:t>Synthesizing published literature established four major unresolved gaps:</w:t>
        <w:br/>
        <w:t>1. Active Comparator Deficit: Prior FAERS analyses predominantly compared semaglutide against the entire database background, conflating drug risk with metabolic indication comorbidity.</w:t>
        <w:br/>
        <w:t>2. Granular Term Specificity: Failure to disaggregate subtle affective symptoms (depressed mood, panic attacks) from major clinical endpoints (suicide attempts).</w:t>
        <w:br/>
        <w:t>3. Lack of Prospective Psychometric Tracking: Absence of prospective active-surveillance studies utilizing standardized scales (PHQ-9, C-SSRS).</w:t>
        <w:br/>
        <w:t>4. Pre-Approval RCT Safety Gaps: Insufficient examination of how trial eligibility criteria obscure psychiatric adverse reactions.</w:t>
      </w:r>
    </w:p>
    <w:p>
      <w:pPr>
        <w:keepNext/>
        <w:spacing w:before="360" w:after="120"/>
      </w:pPr>
      <w:r>
        <w:rPr>
          <w:rFonts w:ascii="Times New Roman" w:hAnsi="Times New Roman"/>
          <w:b/>
          <w:color w:val="1F497D"/>
          <w:sz w:val="32"/>
        </w:rPr>
        <w:t>6. Research Questions and Formal Hypotheses</w:t>
      </w:r>
    </w:p>
    <w:p>
      <w:r>
        <w:t>Primary Research Question (PICO): In adult patients with post-marketing adverse event reports in FDA FAERS (2018–2025), is semaglutide exposure associated with a statistically significant disproportionate reporting rate of psychiatric adverse events compared to active comparator SGLT2 inhibitors?</w:t>
      </w:r>
    </w:p>
    <w:p>
      <w:r>
        <w:t>Null Hypothesis (H0): The Reporting Odds Ratio for psychiatric adverse events in semaglutide-exposed reports is ROR &lt;= 1.0 relative to SGLT2 inhibitor reports, indicating no disproportionate safety signal.</w:t>
        <w:br/>
        <w:t>Alternative Hypothesis (H1): The Reporting Odds Ratio is ROR &gt; 1.0, with the lower bound of the 95% confidence interval exceeding 1.0, PRR &gt;= 2.0, and Chi-square &gt;= 4.0, confirming a validated pharmacovigilance signal.</w:t>
      </w:r>
    </w:p>
    <w:p>
      <w:pPr>
        <w:keepNext/>
        <w:spacing w:before="360" w:after="120"/>
      </w:pPr>
      <w:r>
        <w:rPr>
          <w:rFonts w:ascii="Times New Roman" w:hAnsi="Times New Roman"/>
          <w:b/>
          <w:color w:val="1F497D"/>
          <w:sz w:val="32"/>
        </w:rPr>
        <w:t>7. Investigation Objectives (Primary &amp; Secondary)</w:t>
      </w:r>
    </w:p>
    <w:p>
      <w:r>
        <w:t>Primary Objective: Quantitatively measure disproportionality metrics (ROR, PRR, Chi2) across seven psychiatric MedDRA preferred terms in FAERS comparing semaglutide to SGLT2 inhibitors.</w:t>
        <w:br/>
        <w:t>Secondary Objectives:</w:t>
        <w:br/>
        <w:t>1. Quantify the relative risk profile across individual psychiatric sub-domains.</w:t>
        <w:br/>
        <w:t>2. Formulate an executable prospective active-surveillance cohort protocol (N = 2,000) with validated psychometric instruments.</w:t>
        <w:br/>
        <w:t>3. Systematically evaluate the STEP 1 trial to diagnose why pre-approval trials failed to identify post-marketing neuropsychiatric signals.</w:t>
      </w:r>
    </w:p>
    <w:p>
      <w:pPr>
        <w:keepNext/>
        <w:spacing w:before="360" w:after="120"/>
      </w:pPr>
      <w:r>
        <w:rPr>
          <w:rFonts w:ascii="Times New Roman" w:hAnsi="Times New Roman"/>
          <w:b/>
          <w:color w:val="1F497D"/>
          <w:sz w:val="32"/>
        </w:rPr>
        <w:t>8. Public Data Collection &amp; Preprocessing Methodology</w:t>
      </w:r>
    </w:p>
    <w:p>
      <w:r>
        <w:t>Post-marketing reports were extracted from the FDA FAERS database via the OpenFDA API (`api.fda.gov/drug/event.json`) and validated against quarterly public extracts (January 2018 to June 2025). The target cohort comprised primary suspect reports for semaglutide (Ozempic, Wegovy, Rybelsus; N = 100,912). The active comparator cohort comprised primary suspect reports for SGLT2 inhibitors (Empagliflozin, Dapagliflozin, Canagliflozin; N = 47,266). Data cleaning enforced deduplication on unique Case IDs and verified zero missing values across essential variables (`data_cleaning.py`).</w:t>
      </w:r>
    </w:p>
    <w:p>
      <w:pPr>
        <w:keepNext/>
        <w:spacing w:before="360" w:after="120"/>
      </w:pPr>
      <w:r>
        <w:rPr>
          <w:rFonts w:ascii="Times New Roman" w:hAnsi="Times New Roman"/>
          <w:b/>
          <w:color w:val="1F497D"/>
          <w:sz w:val="32"/>
        </w:rPr>
        <w:t>9. Statistical Analysis Methodology</w:t>
      </w:r>
    </w:p>
    <w:p>
      <w:r>
        <w:t>For each psychiatric MedDRA term, a 2x2 contingency table was constructed comparing exposed cases (a), exposed non-cases (b), comparator cases (c), and comparator non-cases (d). Metrics included:</w:t>
        <w:br/>
        <w:t>• Reporting Odds Ratio: ROR = (a * d) / (b * c) with 95% log-normal confidence bounds.</w:t>
        <w:br/>
        <w:t>• Proportional Reporting Ratio: PRR = [a / (a + b)] / [c / (c + d)].</w:t>
        <w:br/>
        <w:t>• Chi-Square with Yates' Continuity Correction: chi2 = N*(|a*d - b*c| - N/2)^2 / [(a+b)*(c+d)*(a+c)*(b+d)].</w:t>
        <w:br/>
        <w:t>Signal Threshold: Lower 95% CI of ROR &gt; 1.0 AND PRR &gt;= 2.0 AND chi2 &gt;= 4.0 with a &gt;= 3 cases.</w:t>
      </w:r>
    </w:p>
    <w:p>
      <w:pPr>
        <w:keepNext/>
        <w:spacing w:before="360" w:after="120"/>
      </w:pPr>
      <w:r>
        <w:rPr>
          <w:rFonts w:ascii="Times New Roman" w:hAnsi="Times New Roman"/>
          <w:b/>
          <w:color w:val="1F497D"/>
          <w:sz w:val="32"/>
        </w:rPr>
        <w:t>10. Empirical Findings &amp; Pharmacovigilance Signals</w:t>
      </w:r>
    </w:p>
    <w:p>
      <w:r>
        <w:t>Table 2 displays the complete empirical statistical findings across all seven evaluated MedDRA terms:</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1337"/>
        <w:gridCol w:w="1337"/>
        <w:gridCol w:w="1337"/>
        <w:gridCol w:w="1337"/>
        <w:gridCol w:w="1337"/>
        <w:gridCol w:w="1337"/>
        <w:gridCol w:w="1337"/>
      </w:tblGrid>
      <w:tr>
        <w:tc>
          <w:tcPr>
            <w:tcW w:type="dxa" w:w="2016"/>
            <w:shd w:fill="1F497D"/>
            <w:tcMar>
              <w:top w:w="140" w:type="dxa"/>
              <w:bottom w:w="140" w:type="dxa"/>
              <w:left w:w="180" w:type="dxa"/>
              <w:right w:w="180" w:type="dxa"/>
            </w:tcMar>
            <w:vAlign w:val="center"/>
          </w:tcPr>
          <w:p>
            <w:pPr>
              <w:jc w:val="left"/>
            </w:pPr>
            <w:r>
              <w:rPr>
                <w:rFonts w:ascii="Times New Roman" w:hAnsi="Times New Roman"/>
                <w:b/>
                <w:color w:val="FFFFFF"/>
                <w:sz w:val="20"/>
              </w:rPr>
              <w:t>MedDRA Term</w:t>
            </w:r>
          </w:p>
        </w:tc>
        <w:tc>
          <w:tcPr>
            <w:tcW w:type="dxa" w:w="1296"/>
            <w:shd w:fill="1F497D"/>
            <w:tcMar>
              <w:top w:w="140" w:type="dxa"/>
              <w:bottom w:w="140" w:type="dxa"/>
              <w:left w:w="180" w:type="dxa"/>
              <w:right w:w="180" w:type="dxa"/>
            </w:tcMar>
            <w:vAlign w:val="center"/>
          </w:tcPr>
          <w:p>
            <w:pPr>
              <w:jc w:val="left"/>
            </w:pPr>
            <w:r>
              <w:rPr>
                <w:rFonts w:ascii="Times New Roman" w:hAnsi="Times New Roman"/>
                <w:b/>
                <w:color w:val="FFFFFF"/>
                <w:sz w:val="20"/>
              </w:rPr>
              <w:t>Sema Cases (a)</w:t>
            </w:r>
          </w:p>
        </w:tc>
        <w:tc>
          <w:tcPr>
            <w:tcW w:type="dxa" w:w="1296"/>
            <w:shd w:fill="1F497D"/>
            <w:tcMar>
              <w:top w:w="140" w:type="dxa"/>
              <w:bottom w:w="140" w:type="dxa"/>
              <w:left w:w="180" w:type="dxa"/>
              <w:right w:w="180" w:type="dxa"/>
            </w:tcMar>
            <w:vAlign w:val="center"/>
          </w:tcPr>
          <w:p>
            <w:pPr>
              <w:jc w:val="left"/>
            </w:pPr>
            <w:r>
              <w:rPr>
                <w:rFonts w:ascii="Times New Roman" w:hAnsi="Times New Roman"/>
                <w:b/>
                <w:color w:val="FFFFFF"/>
                <w:sz w:val="20"/>
              </w:rPr>
              <w:t>SGLT2 Cases (c)</w:t>
            </w:r>
          </w:p>
        </w:tc>
        <w:tc>
          <w:tcPr>
            <w:tcW w:type="dxa" w:w="2304"/>
            <w:shd w:fill="1F497D"/>
            <w:tcMar>
              <w:top w:w="140" w:type="dxa"/>
              <w:bottom w:w="140" w:type="dxa"/>
              <w:left w:w="180" w:type="dxa"/>
              <w:right w:w="180" w:type="dxa"/>
            </w:tcMar>
            <w:vAlign w:val="center"/>
          </w:tcPr>
          <w:p>
            <w:pPr>
              <w:jc w:val="left"/>
            </w:pPr>
            <w:r>
              <w:rPr>
                <w:rFonts w:ascii="Times New Roman" w:hAnsi="Times New Roman"/>
                <w:b/>
                <w:color w:val="FFFFFF"/>
                <w:sz w:val="20"/>
              </w:rPr>
              <w:t>ROR (95% CI)</w:t>
            </w:r>
          </w:p>
        </w:tc>
        <w:tc>
          <w:tcPr>
            <w:tcW w:type="dxa" w:w="864"/>
            <w:shd w:fill="1F497D"/>
            <w:tcMar>
              <w:top w:w="140" w:type="dxa"/>
              <w:bottom w:w="140" w:type="dxa"/>
              <w:left w:w="180" w:type="dxa"/>
              <w:right w:w="180" w:type="dxa"/>
            </w:tcMar>
            <w:vAlign w:val="center"/>
          </w:tcPr>
          <w:p>
            <w:pPr>
              <w:jc w:val="left"/>
            </w:pPr>
            <w:r>
              <w:rPr>
                <w:rFonts w:ascii="Times New Roman" w:hAnsi="Times New Roman"/>
                <w:b/>
                <w:color w:val="FFFFFF"/>
                <w:sz w:val="20"/>
              </w:rPr>
              <w:t>PRR</w:t>
            </w:r>
          </w:p>
        </w:tc>
        <w:tc>
          <w:tcPr>
            <w:tcW w:type="dxa" w:w="1152"/>
            <w:shd w:fill="1F497D"/>
            <w:tcMar>
              <w:top w:w="140" w:type="dxa"/>
              <w:bottom w:w="140" w:type="dxa"/>
              <w:left w:w="180" w:type="dxa"/>
              <w:right w:w="180" w:type="dxa"/>
            </w:tcMar>
            <w:vAlign w:val="center"/>
          </w:tcPr>
          <w:p>
            <w:pPr>
              <w:jc w:val="left"/>
            </w:pPr>
            <w:r>
              <w:rPr>
                <w:rFonts w:ascii="Times New Roman" w:hAnsi="Times New Roman"/>
                <w:b/>
                <w:color w:val="FFFFFF"/>
                <w:sz w:val="20"/>
              </w:rPr>
              <w:t>Chi2 (Yates)</w:t>
            </w:r>
          </w:p>
        </w:tc>
        <w:tc>
          <w:tcPr>
            <w:tcW w:type="dxa" w:w="1440"/>
            <w:shd w:fill="1F497D"/>
            <w:tcMar>
              <w:top w:w="140" w:type="dxa"/>
              <w:bottom w:w="140" w:type="dxa"/>
              <w:left w:w="180" w:type="dxa"/>
              <w:right w:w="180" w:type="dxa"/>
            </w:tcMar>
            <w:vAlign w:val="center"/>
          </w:tcPr>
          <w:p>
            <w:pPr>
              <w:jc w:val="left"/>
            </w:pPr>
            <w:r>
              <w:rPr>
                <w:rFonts w:ascii="Times New Roman" w:hAnsi="Times New Roman"/>
                <w:b/>
                <w:color w:val="FFFFFF"/>
                <w:sz w:val="20"/>
              </w:rPr>
              <w:t>Signal Detected?</w:t>
            </w:r>
          </w:p>
        </w:tc>
      </w:tr>
      <w:tr>
        <w:tc>
          <w:tcPr>
            <w:tcW w:type="dxa" w:w="2016"/>
            <w:shd w:fill="F2F4F7"/>
            <w:tcMar>
              <w:top w:w="100" w:type="dxa"/>
              <w:bottom w:w="100" w:type="dxa"/>
              <w:left w:w="150" w:type="dxa"/>
              <w:right w:w="150" w:type="dxa"/>
            </w:tcMar>
            <w:vAlign w:val="center"/>
          </w:tcPr>
          <w:p>
            <w:r>
              <w:rPr>
                <w:rFonts w:ascii="Times New Roman" w:hAnsi="Times New Roman"/>
                <w:color w:val="333333"/>
                <w:sz w:val="19"/>
              </w:rPr>
              <w:t>Depressed Mood</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520</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116</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2.11 (1.72–2.58)</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2.10</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54.2</w:t>
            </w:r>
          </w:p>
        </w:tc>
        <w:tc>
          <w:tcPr>
            <w:tcW w:type="dxa" w:w="1440"/>
            <w:shd w:fill="F2F4F7"/>
            <w:tcMar>
              <w:top w:w="100" w:type="dxa"/>
              <w:bottom w:w="100" w:type="dxa"/>
              <w:left w:w="150" w:type="dxa"/>
              <w:right w:w="150" w:type="dxa"/>
            </w:tcMar>
            <w:vAlign w:val="center"/>
          </w:tcPr>
          <w:p>
            <w:r>
              <w:rPr>
                <w:rFonts w:ascii="Times New Roman" w:hAnsi="Times New Roman"/>
                <w:color w:val="333333"/>
                <w:sz w:val="19"/>
              </w:rPr>
              <w:t>YES (SIGNAL)</w:t>
            </w:r>
          </w:p>
        </w:tc>
      </w:tr>
      <w:tr>
        <w:tc>
          <w:tcPr>
            <w:tcW w:type="dxa" w:w="2016"/>
            <w:shd w:fill="FFFFFF"/>
            <w:tcMar>
              <w:top w:w="100" w:type="dxa"/>
              <w:bottom w:w="100" w:type="dxa"/>
              <w:left w:w="150" w:type="dxa"/>
              <w:right w:w="150" w:type="dxa"/>
            </w:tcMar>
            <w:vAlign w:val="center"/>
          </w:tcPr>
          <w:p>
            <w:r>
              <w:rPr>
                <w:rFonts w:ascii="Times New Roman" w:hAnsi="Times New Roman"/>
                <w:color w:val="333333"/>
                <w:sz w:val="19"/>
              </w:rPr>
              <w:t>Anxiety</w:t>
            </w:r>
          </w:p>
        </w:tc>
        <w:tc>
          <w:tcPr>
            <w:tcW w:type="dxa" w:w="1296"/>
            <w:shd w:fill="FFFFFF"/>
            <w:tcMar>
              <w:top w:w="100" w:type="dxa"/>
              <w:bottom w:w="100" w:type="dxa"/>
              <w:left w:w="150" w:type="dxa"/>
              <w:right w:w="150" w:type="dxa"/>
            </w:tcMar>
            <w:vAlign w:val="center"/>
          </w:tcPr>
          <w:p>
            <w:r>
              <w:rPr>
                <w:rFonts w:ascii="Times New Roman" w:hAnsi="Times New Roman"/>
                <w:color w:val="333333"/>
                <w:sz w:val="19"/>
              </w:rPr>
              <w:t>1,878</w:t>
            </w:r>
          </w:p>
        </w:tc>
        <w:tc>
          <w:tcPr>
            <w:tcW w:type="dxa" w:w="1296"/>
            <w:shd w:fill="FFFFFF"/>
            <w:tcMar>
              <w:top w:w="100" w:type="dxa"/>
              <w:bottom w:w="100" w:type="dxa"/>
              <w:left w:w="150" w:type="dxa"/>
              <w:right w:w="150" w:type="dxa"/>
            </w:tcMar>
            <w:vAlign w:val="center"/>
          </w:tcPr>
          <w:p>
            <w:r>
              <w:rPr>
                <w:rFonts w:ascii="Times New Roman" w:hAnsi="Times New Roman"/>
                <w:color w:val="333333"/>
                <w:sz w:val="19"/>
              </w:rPr>
              <w:t>630</w:t>
            </w:r>
          </w:p>
        </w:tc>
        <w:tc>
          <w:tcPr>
            <w:tcW w:type="dxa" w:w="2304"/>
            <w:shd w:fill="FFFFFF"/>
            <w:tcMar>
              <w:top w:w="100" w:type="dxa"/>
              <w:bottom w:w="100" w:type="dxa"/>
              <w:left w:w="150" w:type="dxa"/>
              <w:right w:w="150" w:type="dxa"/>
            </w:tcMar>
            <w:vAlign w:val="center"/>
          </w:tcPr>
          <w:p>
            <w:r>
              <w:rPr>
                <w:rFonts w:ascii="Times New Roman" w:hAnsi="Times New Roman"/>
                <w:color w:val="333333"/>
                <w:sz w:val="19"/>
              </w:rPr>
              <w:t>1.40 (1.28–1.54)</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1.40</w:t>
            </w:r>
          </w:p>
        </w:tc>
        <w:tc>
          <w:tcPr>
            <w:tcW w:type="dxa" w:w="1152"/>
            <w:shd w:fill="FFFFFF"/>
            <w:tcMar>
              <w:top w:w="100" w:type="dxa"/>
              <w:bottom w:w="100" w:type="dxa"/>
              <w:left w:w="150" w:type="dxa"/>
              <w:right w:w="150" w:type="dxa"/>
            </w:tcMar>
            <w:vAlign w:val="center"/>
          </w:tcPr>
          <w:p>
            <w:r>
              <w:rPr>
                <w:rFonts w:ascii="Times New Roman" w:hAnsi="Times New Roman"/>
                <w:color w:val="333333"/>
                <w:sz w:val="19"/>
              </w:rPr>
              <w:t>53.6</w:t>
            </w:r>
          </w:p>
        </w:tc>
        <w:tc>
          <w:tcPr>
            <w:tcW w:type="dxa" w:w="1440"/>
            <w:shd w:fill="FFFFFF"/>
            <w:tcMar>
              <w:top w:w="100" w:type="dxa"/>
              <w:bottom w:w="100" w:type="dxa"/>
              <w:left w:w="150" w:type="dxa"/>
              <w:right w:w="150" w:type="dxa"/>
            </w:tcMar>
            <w:vAlign w:val="center"/>
          </w:tcPr>
          <w:p>
            <w:r>
              <w:rPr>
                <w:rFonts w:ascii="Times New Roman" w:hAnsi="Times New Roman"/>
                <w:color w:val="333333"/>
                <w:sz w:val="19"/>
              </w:rPr>
              <w:t>NO</w:t>
            </w:r>
          </w:p>
        </w:tc>
      </w:tr>
      <w:tr>
        <w:tc>
          <w:tcPr>
            <w:tcW w:type="dxa" w:w="2016"/>
            <w:shd w:fill="F2F4F7"/>
            <w:tcMar>
              <w:top w:w="100" w:type="dxa"/>
              <w:bottom w:w="100" w:type="dxa"/>
              <w:left w:w="150" w:type="dxa"/>
              <w:right w:w="150" w:type="dxa"/>
            </w:tcMar>
            <w:vAlign w:val="center"/>
          </w:tcPr>
          <w:p>
            <w:r>
              <w:rPr>
                <w:rFonts w:ascii="Times New Roman" w:hAnsi="Times New Roman"/>
                <w:color w:val="333333"/>
                <w:sz w:val="19"/>
              </w:rPr>
              <w:t>Suicide Attempt</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106</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74</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0.67 (0.50–0.90)</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0.67</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6.6</w:t>
            </w:r>
          </w:p>
        </w:tc>
        <w:tc>
          <w:tcPr>
            <w:tcW w:type="dxa" w:w="1440"/>
            <w:shd w:fill="F2F4F7"/>
            <w:tcMar>
              <w:top w:w="100" w:type="dxa"/>
              <w:bottom w:w="100" w:type="dxa"/>
              <w:left w:w="150" w:type="dxa"/>
              <w:right w:w="150" w:type="dxa"/>
            </w:tcMar>
            <w:vAlign w:val="center"/>
          </w:tcPr>
          <w:p>
            <w:r>
              <w:rPr>
                <w:rFonts w:ascii="Times New Roman" w:hAnsi="Times New Roman"/>
                <w:color w:val="333333"/>
                <w:sz w:val="19"/>
              </w:rPr>
              <w:t>NO</w:t>
            </w:r>
          </w:p>
        </w:tc>
      </w:tr>
      <w:tr>
        <w:tc>
          <w:tcPr>
            <w:tcW w:type="dxa" w:w="2016"/>
            <w:shd w:fill="FFFFFF"/>
            <w:tcMar>
              <w:top w:w="100" w:type="dxa"/>
              <w:bottom w:w="100" w:type="dxa"/>
              <w:left w:w="150" w:type="dxa"/>
              <w:right w:w="150" w:type="dxa"/>
            </w:tcMar>
            <w:vAlign w:val="center"/>
          </w:tcPr>
          <w:p>
            <w:r>
              <w:rPr>
                <w:rFonts w:ascii="Times New Roman" w:hAnsi="Times New Roman"/>
                <w:color w:val="333333"/>
                <w:sz w:val="19"/>
              </w:rPr>
              <w:t>Suicidal Ideation</w:t>
            </w:r>
          </w:p>
        </w:tc>
        <w:tc>
          <w:tcPr>
            <w:tcW w:type="dxa" w:w="1296"/>
            <w:shd w:fill="FFFFFF"/>
            <w:tcMar>
              <w:top w:w="100" w:type="dxa"/>
              <w:bottom w:w="100" w:type="dxa"/>
              <w:left w:w="150" w:type="dxa"/>
              <w:right w:w="150" w:type="dxa"/>
            </w:tcMar>
            <w:vAlign w:val="center"/>
          </w:tcPr>
          <w:p>
            <w:r>
              <w:rPr>
                <w:rFonts w:ascii="Times New Roman" w:hAnsi="Times New Roman"/>
                <w:color w:val="333333"/>
                <w:sz w:val="19"/>
              </w:rPr>
              <w:t>776</w:t>
            </w:r>
          </w:p>
        </w:tc>
        <w:tc>
          <w:tcPr>
            <w:tcW w:type="dxa" w:w="1296"/>
            <w:shd w:fill="FFFFFF"/>
            <w:tcMar>
              <w:top w:w="100" w:type="dxa"/>
              <w:bottom w:w="100" w:type="dxa"/>
              <w:left w:w="150" w:type="dxa"/>
              <w:right w:w="150" w:type="dxa"/>
            </w:tcMar>
            <w:vAlign w:val="center"/>
          </w:tcPr>
          <w:p>
            <w:r>
              <w:rPr>
                <w:rFonts w:ascii="Times New Roman" w:hAnsi="Times New Roman"/>
                <w:color w:val="333333"/>
                <w:sz w:val="19"/>
              </w:rPr>
              <w:t>140</w:t>
            </w:r>
          </w:p>
        </w:tc>
        <w:tc>
          <w:tcPr>
            <w:tcW w:type="dxa" w:w="2304"/>
            <w:shd w:fill="FFFFFF"/>
            <w:tcMar>
              <w:top w:w="100" w:type="dxa"/>
              <w:bottom w:w="100" w:type="dxa"/>
              <w:left w:w="150" w:type="dxa"/>
              <w:right w:w="150" w:type="dxa"/>
            </w:tcMar>
            <w:vAlign w:val="center"/>
          </w:tcPr>
          <w:p>
            <w:r>
              <w:rPr>
                <w:rFonts w:ascii="Times New Roman" w:hAnsi="Times New Roman"/>
                <w:color w:val="333333"/>
                <w:sz w:val="19"/>
              </w:rPr>
              <w:t>2.61 (2.18–3.12)</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2.60</w:t>
            </w:r>
          </w:p>
        </w:tc>
        <w:tc>
          <w:tcPr>
            <w:tcW w:type="dxa" w:w="1152"/>
            <w:shd w:fill="FFFFFF"/>
            <w:tcMar>
              <w:top w:w="100" w:type="dxa"/>
              <w:bottom w:w="100" w:type="dxa"/>
              <w:left w:w="150" w:type="dxa"/>
              <w:right w:w="150" w:type="dxa"/>
            </w:tcMar>
            <w:vAlign w:val="center"/>
          </w:tcPr>
          <w:p>
            <w:r>
              <w:rPr>
                <w:rFonts w:ascii="Times New Roman" w:hAnsi="Times New Roman"/>
                <w:color w:val="333333"/>
                <w:sz w:val="19"/>
              </w:rPr>
              <w:t>116.4</w:t>
            </w:r>
          </w:p>
        </w:tc>
        <w:tc>
          <w:tcPr>
            <w:tcW w:type="dxa" w:w="1440"/>
            <w:shd w:fill="FFFFFF"/>
            <w:tcMar>
              <w:top w:w="100" w:type="dxa"/>
              <w:bottom w:w="100" w:type="dxa"/>
              <w:left w:w="150" w:type="dxa"/>
              <w:right w:w="150" w:type="dxa"/>
            </w:tcMar>
            <w:vAlign w:val="center"/>
          </w:tcPr>
          <w:p>
            <w:r>
              <w:rPr>
                <w:rFonts w:ascii="Times New Roman" w:hAnsi="Times New Roman"/>
                <w:color w:val="333333"/>
                <w:sz w:val="19"/>
              </w:rPr>
              <w:t>YES (SIGNAL)</w:t>
            </w:r>
          </w:p>
        </w:tc>
      </w:tr>
      <w:tr>
        <w:tc>
          <w:tcPr>
            <w:tcW w:type="dxa" w:w="2016"/>
            <w:shd w:fill="F2F4F7"/>
            <w:tcMar>
              <w:top w:w="100" w:type="dxa"/>
              <w:bottom w:w="100" w:type="dxa"/>
              <w:left w:w="150" w:type="dxa"/>
              <w:right w:w="150" w:type="dxa"/>
            </w:tcMar>
            <w:vAlign w:val="center"/>
          </w:tcPr>
          <w:p>
            <w:r>
              <w:rPr>
                <w:rFonts w:ascii="Times New Roman" w:hAnsi="Times New Roman"/>
                <w:color w:val="333333"/>
                <w:sz w:val="19"/>
              </w:rPr>
              <w:t>Depression</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1,730</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496</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1.64 (1.49–1.82)</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1.63</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95.7</w:t>
            </w:r>
          </w:p>
        </w:tc>
        <w:tc>
          <w:tcPr>
            <w:tcW w:type="dxa" w:w="1440"/>
            <w:shd w:fill="F2F4F7"/>
            <w:tcMar>
              <w:top w:w="100" w:type="dxa"/>
              <w:bottom w:w="100" w:type="dxa"/>
              <w:left w:w="150" w:type="dxa"/>
              <w:right w:w="150" w:type="dxa"/>
            </w:tcMar>
            <w:vAlign w:val="center"/>
          </w:tcPr>
          <w:p>
            <w:r>
              <w:rPr>
                <w:rFonts w:ascii="Times New Roman" w:hAnsi="Times New Roman"/>
                <w:color w:val="333333"/>
                <w:sz w:val="19"/>
              </w:rPr>
              <w:t>NO</w:t>
            </w:r>
          </w:p>
        </w:tc>
      </w:tr>
      <w:tr>
        <w:tc>
          <w:tcPr>
            <w:tcW w:type="dxa" w:w="2016"/>
            <w:shd w:fill="FFFFFF"/>
            <w:tcMar>
              <w:top w:w="100" w:type="dxa"/>
              <w:bottom w:w="100" w:type="dxa"/>
              <w:left w:w="150" w:type="dxa"/>
              <w:right w:w="150" w:type="dxa"/>
            </w:tcMar>
            <w:vAlign w:val="center"/>
          </w:tcPr>
          <w:p>
            <w:r>
              <w:rPr>
                <w:rFonts w:ascii="Times New Roman" w:hAnsi="Times New Roman"/>
                <w:color w:val="333333"/>
                <w:sz w:val="19"/>
              </w:rPr>
              <w:t>Panic Attack</w:t>
            </w:r>
          </w:p>
        </w:tc>
        <w:tc>
          <w:tcPr>
            <w:tcW w:type="dxa" w:w="1296"/>
            <w:shd w:fill="FFFFFF"/>
            <w:tcMar>
              <w:top w:w="100" w:type="dxa"/>
              <w:bottom w:w="100" w:type="dxa"/>
              <w:left w:w="150" w:type="dxa"/>
              <w:right w:w="150" w:type="dxa"/>
            </w:tcMar>
            <w:vAlign w:val="center"/>
          </w:tcPr>
          <w:p>
            <w:r>
              <w:rPr>
                <w:rFonts w:ascii="Times New Roman" w:hAnsi="Times New Roman"/>
                <w:color w:val="333333"/>
                <w:sz w:val="19"/>
              </w:rPr>
              <w:t>253</w:t>
            </w:r>
          </w:p>
        </w:tc>
        <w:tc>
          <w:tcPr>
            <w:tcW w:type="dxa" w:w="1296"/>
            <w:shd w:fill="FFFFFF"/>
            <w:tcMar>
              <w:top w:w="100" w:type="dxa"/>
              <w:bottom w:w="100" w:type="dxa"/>
              <w:left w:w="150" w:type="dxa"/>
              <w:right w:w="150" w:type="dxa"/>
            </w:tcMar>
            <w:vAlign w:val="center"/>
          </w:tcPr>
          <w:p>
            <w:r>
              <w:rPr>
                <w:rFonts w:ascii="Times New Roman" w:hAnsi="Times New Roman"/>
                <w:color w:val="333333"/>
                <w:sz w:val="19"/>
              </w:rPr>
              <w:t>27</w:t>
            </w:r>
          </w:p>
        </w:tc>
        <w:tc>
          <w:tcPr>
            <w:tcW w:type="dxa" w:w="2304"/>
            <w:shd w:fill="FFFFFF"/>
            <w:tcMar>
              <w:top w:w="100" w:type="dxa"/>
              <w:bottom w:w="100" w:type="dxa"/>
              <w:left w:w="150" w:type="dxa"/>
              <w:right w:w="150" w:type="dxa"/>
            </w:tcMar>
            <w:vAlign w:val="center"/>
          </w:tcPr>
          <w:p>
            <w:r>
              <w:rPr>
                <w:rFonts w:ascii="Times New Roman" w:hAnsi="Times New Roman"/>
                <w:color w:val="333333"/>
                <w:sz w:val="19"/>
              </w:rPr>
              <w:t>4.40 (2.96–6.54)</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4.39</w:t>
            </w:r>
          </w:p>
        </w:tc>
        <w:tc>
          <w:tcPr>
            <w:tcW w:type="dxa" w:w="1152"/>
            <w:shd w:fill="FFFFFF"/>
            <w:tcMar>
              <w:top w:w="100" w:type="dxa"/>
              <w:bottom w:w="100" w:type="dxa"/>
              <w:left w:w="150" w:type="dxa"/>
              <w:right w:w="150" w:type="dxa"/>
            </w:tcMar>
            <w:vAlign w:val="center"/>
          </w:tcPr>
          <w:p>
            <w:r>
              <w:rPr>
                <w:rFonts w:ascii="Times New Roman" w:hAnsi="Times New Roman"/>
                <w:color w:val="333333"/>
                <w:sz w:val="19"/>
              </w:rPr>
              <w:t>62.9</w:t>
            </w:r>
          </w:p>
        </w:tc>
        <w:tc>
          <w:tcPr>
            <w:tcW w:type="dxa" w:w="1440"/>
            <w:shd w:fill="FFFFFF"/>
            <w:tcMar>
              <w:top w:w="100" w:type="dxa"/>
              <w:bottom w:w="100" w:type="dxa"/>
              <w:left w:w="150" w:type="dxa"/>
              <w:right w:w="150" w:type="dxa"/>
            </w:tcMar>
            <w:vAlign w:val="center"/>
          </w:tcPr>
          <w:p>
            <w:r>
              <w:rPr>
                <w:rFonts w:ascii="Times New Roman" w:hAnsi="Times New Roman"/>
                <w:color w:val="333333"/>
                <w:sz w:val="19"/>
              </w:rPr>
              <w:t>YES (SIGNAL)</w:t>
            </w:r>
          </w:p>
        </w:tc>
      </w:tr>
      <w:tr>
        <w:tc>
          <w:tcPr>
            <w:tcW w:type="dxa" w:w="2016"/>
            <w:shd w:fill="F2F4F7"/>
            <w:tcMar>
              <w:top w:w="100" w:type="dxa"/>
              <w:bottom w:w="100" w:type="dxa"/>
              <w:left w:w="150" w:type="dxa"/>
              <w:right w:w="150" w:type="dxa"/>
            </w:tcMar>
            <w:vAlign w:val="center"/>
          </w:tcPr>
          <w:p>
            <w:r>
              <w:rPr>
                <w:rFonts w:ascii="Times New Roman" w:hAnsi="Times New Roman"/>
                <w:color w:val="333333"/>
                <w:sz w:val="19"/>
              </w:rPr>
              <w:t>Insomnia</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1,377</w:t>
            </w:r>
          </w:p>
        </w:tc>
        <w:tc>
          <w:tcPr>
            <w:tcW w:type="dxa" w:w="1296"/>
            <w:shd w:fill="F2F4F7"/>
            <w:tcMar>
              <w:top w:w="100" w:type="dxa"/>
              <w:bottom w:w="100" w:type="dxa"/>
              <w:left w:w="150" w:type="dxa"/>
              <w:right w:w="150" w:type="dxa"/>
            </w:tcMar>
            <w:vAlign w:val="center"/>
          </w:tcPr>
          <w:p>
            <w:r>
              <w:rPr>
                <w:rFonts w:ascii="Times New Roman" w:hAnsi="Times New Roman"/>
                <w:color w:val="333333"/>
                <w:sz w:val="19"/>
              </w:rPr>
              <w:t>672</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0.96 (0.87–1.05)</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0.96</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0.7</w:t>
            </w:r>
          </w:p>
        </w:tc>
        <w:tc>
          <w:tcPr>
            <w:tcW w:type="dxa" w:w="1440"/>
            <w:shd w:fill="F2F4F7"/>
            <w:tcMar>
              <w:top w:w="100" w:type="dxa"/>
              <w:bottom w:w="100" w:type="dxa"/>
              <w:left w:w="150" w:type="dxa"/>
              <w:right w:w="150" w:type="dxa"/>
            </w:tcMar>
            <w:vAlign w:val="center"/>
          </w:tcPr>
          <w:p>
            <w:r>
              <w:rPr>
                <w:rFonts w:ascii="Times New Roman" w:hAnsi="Times New Roman"/>
                <w:color w:val="333333"/>
                <w:sz w:val="19"/>
              </w:rPr>
              <w:t>NO</w:t>
            </w:r>
          </w:p>
        </w:tc>
      </w:tr>
    </w:tbl>
    <w:p/>
    <w:p>
      <w:pPr>
        <w:keepNext/>
        <w:spacing w:before="240" w:after="80"/>
      </w:pPr>
      <w:r>
        <w:rPr>
          <w:rFonts w:ascii="Times New Roman" w:hAnsi="Times New Roman"/>
          <w:b/>
          <w:color w:val="366092"/>
          <w:sz w:val="26"/>
        </w:rPr>
        <w:t>10.3 Analytical Visualizations</w:t>
      </w:r>
    </w:p>
    <w:p>
      <w:pPr>
        <w:keepNext/>
        <w:spacing w:before="160" w:after="40"/>
      </w:pPr>
      <w:r>
        <w:rPr>
          <w:rFonts w:ascii="Times New Roman" w:hAnsi="Times New Roman"/>
          <w:b/>
          <w:i/>
          <w:color w:val="333333"/>
          <w:sz w:val="23"/>
        </w:rPr>
        <w:t>Figure 1. Reporting Odds Ratio Forest Plot with 95% Confidence Intervals</w:t>
      </w: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3_forest_plot.png"/>
                    <pic:cNvPicPr/>
                  </pic:nvPicPr>
                  <pic:blipFill>
                    <a:blip r:embed="rId11"/>
                    <a:stretch>
                      <a:fillRect/>
                    </a:stretch>
                  </pic:blipFill>
                  <pic:spPr>
                    <a:xfrm>
                      <a:off x="0" y="0"/>
                      <a:ext cx="5303520" cy="3182112"/>
                    </a:xfrm>
                    <a:prstGeom prst="rect"/>
                  </pic:spPr>
                </pic:pic>
              </a:graphicData>
            </a:graphic>
          </wp:inline>
        </w:drawing>
      </w:r>
    </w:p>
    <w:p>
      <w:pPr>
        <w:spacing w:before="60" w:after="200"/>
      </w:pPr>
      <w:r>
        <w:rPr>
          <w:rFonts w:ascii="Times New Roman" w:hAnsi="Times New Roman"/>
          <w:i/>
          <w:sz w:val="18"/>
        </w:rPr>
        <w:t>Figure Description: Depicts point estimates and 95% error margins for all psychiatric terms. Suicidal Ideation (2.61), Depressed Mood (2.11), and Panic Attack (4.40) exhibit clear disproportionality signals separating from the null boundary.</w:t>
      </w:r>
    </w:p>
    <w:p>
      <w:pPr>
        <w:keepNext/>
        <w:spacing w:before="160" w:after="40"/>
      </w:pPr>
      <w:r>
        <w:rPr>
          <w:rFonts w:ascii="Times New Roman" w:hAnsi="Times New Roman"/>
          <w:b/>
          <w:i/>
          <w:color w:val="333333"/>
          <w:sz w:val="23"/>
        </w:rPr>
        <w:t>Figure 2. Comparative Reporting Rates per 10,000 Total Adverse Event Reports</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4_grouped_comparison.png"/>
                    <pic:cNvPicPr/>
                  </pic:nvPicPr>
                  <pic:blipFill>
                    <a:blip r:embed="rId12"/>
                    <a:stretch>
                      <a:fillRect/>
                    </a:stretch>
                  </pic:blipFill>
                  <pic:spPr>
                    <a:xfrm>
                      <a:off x="0" y="0"/>
                      <a:ext cx="5303520" cy="2651760"/>
                    </a:xfrm>
                    <a:prstGeom prst="rect"/>
                  </pic:spPr>
                </pic:pic>
              </a:graphicData>
            </a:graphic>
          </wp:inline>
        </w:drawing>
      </w:r>
    </w:p>
    <w:p>
      <w:pPr>
        <w:spacing w:before="60" w:after="200"/>
      </w:pPr>
      <w:r>
        <w:rPr>
          <w:rFonts w:ascii="Times New Roman" w:hAnsi="Times New Roman"/>
          <w:i/>
          <w:sz w:val="18"/>
        </w:rPr>
        <w:t>Figure Description: Highlights standardized reporting disparities between Semaglutide and SGLT2 inhibitors.</w:t>
      </w:r>
    </w:p>
    <w:p>
      <w:pPr>
        <w:keepNext/>
        <w:spacing w:before="160" w:after="40"/>
      </w:pPr>
      <w:r>
        <w:rPr>
          <w:rFonts w:ascii="Times New Roman" w:hAnsi="Times New Roman"/>
          <w:b/>
          <w:i/>
          <w:color w:val="333333"/>
          <w:sz w:val="23"/>
        </w:rPr>
        <w:t>Figure 3. Longitudinal Psychiatric Adverse Event Reporting Trends (2018–2025)</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6_temporal_trend.png"/>
                    <pic:cNvPicPr/>
                  </pic:nvPicPr>
                  <pic:blipFill>
                    <a:blip r:embed="rId13"/>
                    <a:stretch>
                      <a:fillRect/>
                    </a:stretch>
                  </pic:blipFill>
                  <pic:spPr>
                    <a:xfrm>
                      <a:off x="0" y="0"/>
                      <a:ext cx="5303520" cy="3182112"/>
                    </a:xfrm>
                    <a:prstGeom prst="rect"/>
                  </pic:spPr>
                </pic:pic>
              </a:graphicData>
            </a:graphic>
          </wp:inline>
        </w:drawing>
      </w:r>
    </w:p>
    <w:p>
      <w:pPr>
        <w:spacing w:before="60" w:after="200"/>
      </w:pPr>
      <w:r>
        <w:rPr>
          <w:rFonts w:ascii="Times New Roman" w:hAnsi="Times New Roman"/>
          <w:i/>
          <w:sz w:val="18"/>
        </w:rPr>
        <w:t>Figure Description: Illustrates exponential reporting growth for semaglutide following 2021 Wegovy approval and media publicity.</w:t>
      </w:r>
    </w:p>
    <w:p>
      <w:pPr>
        <w:keepNext/>
        <w:spacing w:before="160" w:after="40"/>
      </w:pPr>
      <w:r>
        <w:rPr>
          <w:rFonts w:ascii="Times New Roman" w:hAnsi="Times New Roman"/>
          <w:b/>
          <w:i/>
          <w:color w:val="333333"/>
          <w:sz w:val="23"/>
        </w:rPr>
        <w:t>Figure 4. Signal Intensity Heatmap across MedDRA Categories</w:t>
      </w:r>
    </w:p>
    <w:p>
      <w:r>
        <w:drawing>
          <wp:inline xmlns:a="http://schemas.openxmlformats.org/drawingml/2006/main" xmlns:pic="http://schemas.openxmlformats.org/drawingml/2006/picture">
            <wp:extent cx="5303520" cy="6061166"/>
            <wp:docPr id="4" name="Picture 4"/>
            <wp:cNvGraphicFramePr>
              <a:graphicFrameLocks noChangeAspect="1"/>
            </wp:cNvGraphicFramePr>
            <a:graphic>
              <a:graphicData uri="http://schemas.openxmlformats.org/drawingml/2006/picture">
                <pic:pic>
                  <pic:nvPicPr>
                    <pic:cNvPr id="0" name="fig7_signal_heatmap.png"/>
                    <pic:cNvPicPr/>
                  </pic:nvPicPr>
                  <pic:blipFill>
                    <a:blip r:embed="rId14"/>
                    <a:stretch>
                      <a:fillRect/>
                    </a:stretch>
                  </pic:blipFill>
                  <pic:spPr>
                    <a:xfrm>
                      <a:off x="0" y="0"/>
                      <a:ext cx="5303520" cy="6061166"/>
                    </a:xfrm>
                    <a:prstGeom prst="rect"/>
                  </pic:spPr>
                </pic:pic>
              </a:graphicData>
            </a:graphic>
          </wp:inline>
        </w:drawing>
      </w:r>
    </w:p>
    <w:p>
      <w:pPr>
        <w:spacing w:before="60" w:after="200"/>
      </w:pPr>
      <w:r>
        <w:rPr>
          <w:rFonts w:ascii="Times New Roman" w:hAnsi="Times New Roman"/>
          <w:i/>
          <w:sz w:val="18"/>
        </w:rPr>
        <w:t>Figure Description: Color-coded matrix confirming signal hotspots for panic attacks and suicidal ideation.</w:t>
      </w:r>
    </w:p>
    <w:p>
      <w:pPr>
        <w:keepNext/>
        <w:spacing w:before="360" w:after="120"/>
      </w:pPr>
      <w:r>
        <w:rPr>
          <w:rFonts w:ascii="Times New Roman" w:hAnsi="Times New Roman"/>
          <w:b/>
          <w:color w:val="1F497D"/>
          <w:sz w:val="32"/>
        </w:rPr>
        <w:t>11. Simulated Prospective Experimental Design</w:t>
      </w:r>
    </w:p>
    <w:p>
      <w:pPr>
        <w:spacing w:before="120" w:after="160"/>
        <w:ind w:left="432" w:right="432"/>
      </w:pPr>
      <w:r>
        <w:rPr>
          <w:b/>
          <w:color w:val="B43232"/>
        </w:rPr>
        <w:t xml:space="preserve">[CAUTION] </w:t>
      </w:r>
      <w:r>
        <w:rPr>
          <w:i/>
          <w:color w:val="333333"/>
        </w:rPr>
        <w:t>SIMULATION CLARIFICATION: The prospective protocol below is an advanced methodological simulation designed to overcome the epidemiological blindspots of spontaneous pharmacovigilance; it has not been executed in human clinical subjects.</w:t>
      </w:r>
    </w:p>
    <w:p>
      <w:r>
        <w:t>To rigorously test whether semaglutide causes incident depressive or suicidal states, Week 3 developed a prospective active-surveillance cohort protocol. Adult participants (N = 2,000; 1,000 initiating semaglutide, 1,000 initiating SGLT2i) are followed longitudinally for 12 months across multi-center outpatient clinics. The study protocol incorporates:</w:t>
        <w:br/>
        <w:t>• Power Calculation: 80% power at alpha = 0.05 to detect a Hazard Ratio &gt;= 1.75 assuming a 5% baseline 12-month event rate and 15% attrition.</w:t>
        <w:br/>
        <w:t>• Validated Psychometrics: Mandatory electronic administration of the PHQ-9 (depression severity) and C-SSRS (suicidal ideation/behavior) at baseline, Month 3, Month 6, Month 9, and Month 12.</w:t>
        <w:br/>
        <w:t>• Active Comparator Control: SGLT2 inhibitors control for diabetes/obesity comorbidity, frequent clinic visits, and the psychological impact of medical treatment.</w:t>
        <w:br/>
        <w:t>• Independent Adjudication &amp; Safety: Blinded psychiatrist panel reviews all endpoint triggers (PHQ-9 &gt;= 15 or C-SSRS &gt;= Level 3), backed by an automated 2-hour clinical escalation protocol and DSMB stopping rules (interim HR &gt; 2.5, p &lt; 0.001).</w:t>
      </w:r>
    </w:p>
    <w:p>
      <w:pPr>
        <w:keepNext/>
        <w:spacing w:before="240" w:after="80"/>
      </w:pPr>
      <w:r>
        <w:rPr>
          <w:rFonts w:ascii="Times New Roman" w:hAnsi="Times New Roman"/>
          <w:b/>
          <w:color w:val="366092"/>
          <w:sz w:val="26"/>
        </w:rPr>
        <w:t>11.4 Clinical Workflow Diagram</w:t>
      </w:r>
    </w:p>
    <w:p>
      <w:r>
        <w:drawing>
          <wp:inline xmlns:a="http://schemas.openxmlformats.org/drawingml/2006/main" xmlns:pic="http://schemas.openxmlformats.org/drawingml/2006/picture">
            <wp:extent cx="5029200" cy="7312900"/>
            <wp:docPr id="5" name="Picture 5"/>
            <wp:cNvGraphicFramePr>
              <a:graphicFrameLocks noChangeAspect="1"/>
            </wp:cNvGraphicFramePr>
            <a:graphic>
              <a:graphicData uri="http://schemas.openxmlformats.org/drawingml/2006/picture">
                <pic:pic>
                  <pic:nvPicPr>
                    <pic:cNvPr id="0" name="week3_study_flowchart.png"/>
                    <pic:cNvPicPr/>
                  </pic:nvPicPr>
                  <pic:blipFill>
                    <a:blip r:embed="rId15"/>
                    <a:stretch>
                      <a:fillRect/>
                    </a:stretch>
                  </pic:blipFill>
                  <pic:spPr>
                    <a:xfrm>
                      <a:off x="0" y="0"/>
                      <a:ext cx="5029200" cy="7312900"/>
                    </a:xfrm>
                    <a:prstGeom prst="rect"/>
                  </pic:spPr>
                </pic:pic>
              </a:graphicData>
            </a:graphic>
          </wp:inline>
        </w:drawing>
      </w:r>
    </w:p>
    <w:p>
      <w:pPr>
        <w:spacing w:before="80" w:after="240"/>
      </w:pPr>
      <w:r>
        <w:rPr>
          <w:rFonts w:ascii="Times New Roman" w:hAnsi="Times New Roman"/>
          <w:i/>
          <w:sz w:val="19"/>
        </w:rPr>
        <w:t>Figure 5. Master workflow diagram for the prospective active-surveillance cohort study simulation.</w:t>
      </w:r>
    </w:p>
    <w:p>
      <w:pPr>
        <w:keepNext/>
        <w:spacing w:before="360" w:after="120"/>
      </w:pPr>
      <w:r>
        <w:rPr>
          <w:rFonts w:ascii="Times New Roman" w:hAnsi="Times New Roman"/>
          <w:b/>
          <w:color w:val="1F497D"/>
          <w:sz w:val="32"/>
        </w:rPr>
        <w:t>12. Critical Methodological Appraisal of the STEP 1 Clinical Trial</w:t>
      </w:r>
    </w:p>
    <w:p>
      <w:r>
        <w:t>In Week 4, we critically appraised the seminal STEP 1 trial (Wilding et al., 2021, NEJM; PMID 33567185), the pivotal Phase 3 trial (N = 1,961) demonstrating -14.9% weight loss with once-weekly semaglutide 2.4 mg versus -2.4% with placebo. While the study met the highest standards of randomized efficacy research (CONSORT 2010 compliance, central randomization, 92.6% trial completion, dual estimand reporting), it suffered from fundamental safety surveillance blindspots:</w:t>
        <w:br/>
        <w:t>1. Psychiatric Exclusion: Participants with a PHQ-9 score &gt;= 15, major depressive disorder within 2 years, or prior suicidal behavior were systematically excluded. This screened out the exact vulnerable sub-populations who experience adverse psychiatric events in real-world clinical practice.</w:t>
        <w:br/>
        <w:t>2. Passive Adverse Event Capture: The trial relied on open-ended spontaneous reporting rather than validated longitudinal psychometric scales, causing mild-to-moderate affective symptoms and suicidal thoughts to remain unmeasured.</w:t>
        <w:br/>
        <w:t>3. Inert Placebo Control: The absence of an active metabolic comparator inflated observable efficacy while obscuring comparative risk-benefit profiles.</w:t>
      </w:r>
    </w:p>
    <w:p>
      <w:pPr>
        <w:keepNext/>
        <w:spacing w:before="360" w:after="120"/>
      </w:pPr>
      <w:r>
        <w:rPr>
          <w:rFonts w:ascii="Times New Roman" w:hAnsi="Times New Roman"/>
          <w:b/>
          <w:color w:val="1F497D"/>
          <w:sz w:val="32"/>
        </w:rPr>
        <w:t>13. Integrated Cross-Week Discussion</w:t>
      </w:r>
    </w:p>
    <w:p>
      <w:r>
        <w:t>Synthesizing the four weekly investigations resolves the central pharmacoepidemiological paradox of GLP-1 receptor agonist safety:</w:t>
        <w:br/>
        <w:t>1. Pre-approval clinical trials (STEP 1) are engineered as high-internal-validity efficacy experiments that intentionally exclude psychiatric comorbidity. Consequently, neuropsychiatric adverse events are suppressed and evade pre-marketing detection.</w:t>
        <w:br/>
        <w:t>2. Upon broad commercial distribution, post-marketing spontaneous reporting systems (FAERS) capture real-world patient exposure. Spontaneous disproportionality analysis (Week 2) successfully detected robust safety signals for suicidal ideation (ROR 2.61) and panic attacks (ROR 4.40), generating urgent regulatory hypotheses.</w:t>
        <w:br/>
        <w:t>3. However, because FAERS lacks denominator exposure and is heavily confounded by notoriety bias and media coverage, spontaneous signals cannot establish causality.</w:t>
        <w:br/>
        <w:t>4. Definitive scientific resolution requires prospective active-surveillance cohort studies with active comparators (Week 3 simulation) to distinguish genuine neurobiological drug risk from underlying disease comorbidity.</w:t>
      </w:r>
    </w:p>
    <w:p>
      <w:pPr>
        <w:keepNext/>
        <w:spacing w:before="360" w:after="120"/>
      </w:pPr>
      <w:r>
        <w:rPr>
          <w:rFonts w:ascii="Times New Roman" w:hAnsi="Times New Roman"/>
          <w:b/>
          <w:color w:val="1F497D"/>
          <w:sz w:val="32"/>
        </w:rPr>
        <w:t>14. Methodological Strengths &amp; Study Limitations</w:t>
      </w:r>
    </w:p>
    <w:p>
      <w:r>
        <w:t>Strengths: Methodological diversity integrating literature synthesis, raw public data mining, rigorous disproportionality math, experimental protocol planning, and formal clinical trial appraisal; 100% reproducible analytical code; complete reference verifiability.</w:t>
        <w:br/>
        <w:t>Limitations: Spontaneous reporting data is subject to underreporting, the Weber effect, and reporting stimulation; lack of prescription denominator data prevents incidence calculation; the experimental protocol is an academic simulation.</w:t>
      </w:r>
    </w:p>
    <w:p>
      <w:pPr>
        <w:keepNext/>
        <w:spacing w:before="360" w:after="120"/>
      </w:pPr>
      <w:r>
        <w:rPr>
          <w:rFonts w:ascii="Times New Roman" w:hAnsi="Times New Roman"/>
          <w:b/>
          <w:color w:val="1F497D"/>
          <w:sz w:val="32"/>
        </w:rPr>
        <w:t>15. Future Research Directions &amp; Translational Policy Recommendations</w:t>
      </w:r>
    </w:p>
    <w:p>
      <w:r>
        <w:t>1. Mandate Prospective Psychometric Monitoring: Regulatory agencies (FDA, EMA) should mandate structured psychometric screening (PHQ-9, C-SSRS) in all Phase 3/4 trials of CNS-penetrant incretin mimetics.</w:t>
        <w:br/>
        <w:t>2. Pragmatic Real-World Trial Inclusion: Future metabolic trials must broaden inclusion criteria to include patients with stable, treated affective illness.</w:t>
        <w:br/>
        <w:t>3. Clinical Vigilance without Panic: Clinicians should screen patients for personal or familial depressive history before prescribing semaglutide but avoid indiscriminate drug withholding, given the profound cardiometabolic benefits of therapy.</w:t>
      </w:r>
    </w:p>
    <w:p>
      <w:pPr>
        <w:keepNext/>
        <w:spacing w:before="360" w:after="120"/>
      </w:pPr>
      <w:r>
        <w:rPr>
          <w:rFonts w:ascii="Times New Roman" w:hAnsi="Times New Roman"/>
          <w:b/>
          <w:color w:val="1F497D"/>
          <w:sz w:val="32"/>
        </w:rPr>
        <w:t>16. Concluding Remarks</w:t>
      </w:r>
    </w:p>
    <w:p>
      <w:r>
        <w:t>This research portfolio provides a complete, methodologically rigorous, and reproducible examination of semaglutide pharmacovigilance. By connecting literature review to raw spontaneous data analysis, prospective study design, and clinical trial critique, the portfolio illustrates how advanced pharmaceutical research bridges the gap between pre-approval efficacy and real-world patient safety.</w:t>
      </w:r>
    </w:p>
    <w:p>
      <w:pPr>
        <w:keepNext/>
        <w:spacing w:before="360" w:after="120"/>
      </w:pPr>
      <w:r>
        <w:rPr>
          <w:rFonts w:ascii="Times New Roman" w:hAnsi="Times New Roman"/>
          <w:b/>
          <w:color w:val="1F497D"/>
          <w:sz w:val="32"/>
        </w:rPr>
        <w:t>17. Master References (APA 7th Edition)</w:t>
      </w:r>
    </w:p>
    <w:p>
      <w:pPr>
        <w:spacing w:after="120"/>
        <w:ind w:left="720" w:hanging="720"/>
      </w:pPr>
      <w:r>
        <w:rPr>
          <w:rFonts w:ascii="Times New Roman" w:hAnsi="Times New Roman"/>
          <w:sz w:val="20"/>
        </w:rPr>
        <w:t>American Diabetes Association. (2024). Standards of Care in Diabetes—2024. Diabetes Care, 47(Suppl. 1), S1-S343.</w:t>
      </w:r>
    </w:p>
    <w:p>
      <w:pPr>
        <w:spacing w:after="120"/>
        <w:ind w:left="720" w:hanging="720"/>
      </w:pPr>
      <w:r>
        <w:rPr>
          <w:rFonts w:ascii="Times New Roman" w:hAnsi="Times New Roman"/>
          <w:sz w:val="20"/>
        </w:rPr>
        <w:t>Consortium for Reporting Trials. (2010). CONSORT 2010 Explanation and Elaboration: updated guidelines for reporting parallel group randomised trials. BMJ, 340, c869.</w:t>
      </w:r>
    </w:p>
    <w:p>
      <w:pPr>
        <w:spacing w:after="120"/>
        <w:ind w:left="720" w:hanging="720"/>
      </w:pPr>
      <w:r>
        <w:rPr>
          <w:rFonts w:ascii="Times New Roman" w:hAnsi="Times New Roman"/>
          <w:sz w:val="20"/>
        </w:rPr>
        <w:t>Food and Drug Administration. (2024). FDA Adverse Event Reporting System (FAERS) Public Dashboard and OpenFDA API Documentation. U.S. Department of Health and Human Services.</w:t>
      </w:r>
    </w:p>
    <w:p>
      <w:pPr>
        <w:spacing w:after="120"/>
        <w:ind w:left="720" w:hanging="720"/>
      </w:pPr>
      <w:r>
        <w:rPr>
          <w:rFonts w:ascii="Times New Roman" w:hAnsi="Times New Roman"/>
          <w:sz w:val="20"/>
        </w:rPr>
        <w:t>International Council for Harmonisation. (2016). Integrated Addendum to ICH E6(R1): Guideline for Good Clinical Practice E6(R2). Current Step 4 Version.</w:t>
      </w:r>
    </w:p>
    <w:p>
      <w:pPr>
        <w:spacing w:after="120"/>
        <w:ind w:left="720" w:hanging="720"/>
      </w:pPr>
      <w:r>
        <w:rPr>
          <w:rFonts w:ascii="Times New Roman" w:hAnsi="Times New Roman"/>
          <w:sz w:val="20"/>
        </w:rPr>
        <w:t>Khouri, C., et al. (2024). The REporting of A Disproportionality Analysis for DrUg Safety Signal Detection Using Individual Case Safety Reports in PharmacoVigilance (READUS-PV): Explanation and Elaboration. Drug Safety, 47(6), 541-558. https://doi.org/10.1007/s40264-024-01421-9</w:t>
      </w:r>
    </w:p>
    <w:p>
      <w:pPr>
        <w:spacing w:after="120"/>
        <w:ind w:left="720" w:hanging="720"/>
      </w:pPr>
      <w:r>
        <w:rPr>
          <w:rFonts w:ascii="Times New Roman" w:hAnsi="Times New Roman"/>
          <w:sz w:val="20"/>
        </w:rPr>
        <w:t>Kroenke, K., Spitzer, R. L., &amp; Williams, J. B. (2001). The PHQ-9: validity of a brief depression severity measure. Journal of General Internal Medicine, 16(9), 606-613.</w:t>
      </w:r>
    </w:p>
    <w:p>
      <w:pPr>
        <w:spacing w:after="120"/>
        <w:ind w:left="720" w:hanging="720"/>
      </w:pPr>
      <w:r>
        <w:rPr>
          <w:rFonts w:ascii="Times New Roman" w:hAnsi="Times New Roman"/>
          <w:sz w:val="20"/>
        </w:rPr>
        <w:t>McIntyre, R. S., et al. (2024). The association between glucagon-like peptide-1 receptor agonists and suicidality: reports to FAERS. Expert Opinion on Drug Safety, 23(3), 311-317. https://doi.org/10.1080/14740338.2023.2295397</w:t>
      </w:r>
    </w:p>
    <w:p>
      <w:pPr>
        <w:spacing w:after="120"/>
        <w:ind w:left="720" w:hanging="720"/>
      </w:pPr>
      <w:r>
        <w:rPr>
          <w:rFonts w:ascii="Times New Roman" w:hAnsi="Times New Roman"/>
          <w:sz w:val="20"/>
        </w:rPr>
        <w:t>Posner, K., et al. (2011). The Columbia-Suicide Severity Rating Scale: initial validity and internal consistency findings from three multisite studies. American Journal of Psychiatry, 168(12), 1266-1277.</w:t>
      </w:r>
    </w:p>
    <w:p>
      <w:pPr>
        <w:spacing w:after="120"/>
        <w:ind w:left="720" w:hanging="720"/>
      </w:pPr>
      <w:r>
        <w:rPr>
          <w:rFonts w:ascii="Times New Roman" w:hAnsi="Times New Roman"/>
          <w:sz w:val="20"/>
        </w:rPr>
        <w:t>Schoretsanitis, G., et al. (2024). Disproportionality Analysis From World Health Organization Data on Semaglutide, Liraglutide, and Suicidality. JAMA Network Open, 7(8), e2423385. https://doi.org/10.1001/jamanetworkopen.2024.23385</w:t>
      </w:r>
    </w:p>
    <w:p>
      <w:pPr>
        <w:spacing w:after="120"/>
        <w:ind w:left="720" w:hanging="720"/>
      </w:pPr>
      <w:r>
        <w:rPr>
          <w:rFonts w:ascii="Times New Roman" w:hAnsi="Times New Roman"/>
          <w:sz w:val="20"/>
        </w:rPr>
        <w:t>Wang, W., Volkow, N. D., et al. (2024). Association of semaglutide with risk of suicidal ideation in a real-world cohort. Nature Medicine, 30(1), 168-176. https://doi.org/10.1038/s41591-023-02672-2</w:t>
      </w:r>
    </w:p>
    <w:p>
      <w:pPr>
        <w:spacing w:after="120"/>
        <w:ind w:left="720" w:hanging="720"/>
      </w:pPr>
      <w:r>
        <w:rPr>
          <w:rFonts w:ascii="Times New Roman" w:hAnsi="Times New Roman"/>
          <w:sz w:val="20"/>
        </w:rPr>
        <w:t>Wilding, J. P. H., Batterham, R. L., Calanna, S., et al. (2021). Once-Weekly Semaglutide in Adults with Overweight or Obesity (STEP 1 Trial). New England Journal of Medicine, 384(11), 989-1002. https://doi.org/10.1056/NEJMoa2032183</w:t>
      </w:r>
    </w:p>
    <w:p>
      <w:pPr>
        <w:spacing w:after="120"/>
        <w:ind w:left="720" w:hanging="720"/>
      </w:pPr>
      <w:r>
        <w:rPr>
          <w:rFonts w:ascii="Times New Roman" w:hAnsi="Times New Roman"/>
          <w:sz w:val="20"/>
        </w:rPr>
        <w:t>Wilding, J. P. H., et al. (2022). Weight regain and cardiometabolic effects after withdrawal of semaglutide: The STEP 1 trial extension. Diabetes, Obesity and Metabolism, 24(8), 1553-1564.</w:t>
      </w:r>
    </w:p>
    <w:p>
      <w:pPr>
        <w:keepNext/>
        <w:spacing w:before="360" w:after="120"/>
      </w:pPr>
      <w:r>
        <w:rPr>
          <w:rFonts w:ascii="Times New Roman" w:hAnsi="Times New Roman"/>
          <w:b/>
          <w:color w:val="1F497D"/>
          <w:sz w:val="32"/>
        </w:rPr>
        <w:t>18. Appendices</w:t>
      </w:r>
    </w:p>
    <w:p>
      <w:pPr>
        <w:keepNext/>
        <w:spacing w:before="240" w:after="80"/>
      </w:pPr>
      <w:r>
        <w:rPr>
          <w:rFonts w:ascii="Times New Roman" w:hAnsi="Times New Roman"/>
          <w:b/>
          <w:color w:val="366092"/>
          <w:sz w:val="26"/>
        </w:rPr>
        <w:t>Appendix A: Analytical Scripts &amp; Artifact Repository Index</w:t>
      </w:r>
    </w:p>
    <w:p>
      <w:r>
        <w:t>All analytical code, data tables, and reproducible assets are organized in the AntiGravity project workspace:</w:t>
        <w:br/>
        <w:t>• Data Collection: `week2_data_analysis/scripts/data_collection.py` (OpenFDA API extraction)</w:t>
        <w:br/>
        <w:t>• Data Cleaning &amp; Processing: `week2_data_analysis/scripts/data_cleaning.py`</w:t>
        <w:br/>
        <w:t>• Descriptive Statistics: `week2_data_analysis/scripts/descriptive_statistics.py`</w:t>
        <w:br/>
        <w:t>• Disproportionality Testing: `week2_data_analysis/scripts/statistical_tests.py`</w:t>
        <w:br/>
        <w:t>• Visualization Generator: `week2_data_analysis/scripts/visualization.py`</w:t>
        <w:br/>
        <w:t>• Interactive Analysis Notebook: `week2_data_analysis/notebooks/pharmaceutical_data_analysis.ipynb`</w:t>
        <w:br/>
        <w:t>• Literature Matrix: `week1_literature_review/literature_matrix.xlsx` and `.csv`</w:t>
        <w:br/>
        <w:t>• Methodology Appraisal Matrix: `week4_critical_evaluation/methodology_matrix.xlsx` and `.csv`</w:t>
        <w:br/>
        <w:t>• Quality Assurance Audits: `qa/citation_validation.md`, `qa/statistical_validation.md`, `qa/document_validation.md`, `qa/research_quality_checklist.md`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Confidential Academic Research Portfolio | AntiGravity Enterprise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Pharmaceutical Research Assistant Internship | Research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