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240"/>
      </w:pPr>
      <w:r>
        <w:rPr>
          <w:rFonts w:ascii="Times New Roman" w:hAnsi="Times New Roman"/>
          <w:b/>
          <w:color w:val="366092"/>
          <w:sz w:val="24"/>
        </w:rPr>
        <w:t>DELIVERABLE: WEEK 4 PORTFOLIO DELIVERABLE</w:t>
      </w:r>
    </w:p>
    <w:p>
      <w:pPr>
        <w:spacing w:after="240" w:line="276" w:lineRule="auto"/>
      </w:pPr>
      <w:r>
        <w:rPr>
          <w:rFonts w:ascii="Times New Roman" w:hAnsi="Times New Roman"/>
          <w:b/>
          <w:color w:val="1F497D"/>
          <w:sz w:val="48"/>
        </w:rPr>
        <w:t>Critical Methodological Evaluation of the Landmark STEP 1 Clinical Trial</w:t>
      </w:r>
    </w:p>
    <w:p>
      <w:pPr>
        <w:spacing w:after="720"/>
      </w:pPr>
      <w:r>
        <w:rPr>
          <w:rFonts w:ascii="Times New Roman" w:hAnsi="Times New Roman"/>
          <w:i/>
          <w:color w:val="333333"/>
          <w:sz w:val="28"/>
        </w:rPr>
        <w:t>A Rigorous Appraisal of Randomized Trial Architecture, Safety Surveillance Blindspots, and Post-Marketing Divergence</w:t>
      </w:r>
    </w:p>
    <w:p>
      <w:pPr>
        <w:spacing w:after="720"/>
      </w:pPr>
      <w:r>
        <w:rPr>
          <w:color w:val="366092"/>
        </w:rPr>
        <w:t>―――――――――――――――――――――――――――――――――――――――――――――</w:t>
      </w:r>
    </w:p>
    <w:p>
      <w:pPr>
        <w:spacing w:after="960"/>
      </w:pPr>
      <w:r>
        <w:rPr>
          <w:rFonts w:ascii="Times New Roman" w:hAnsi="Times New Roman"/>
          <w:b/>
          <w:color w:val="333333"/>
          <w:sz w:val="21"/>
        </w:rPr>
        <w:t xml:space="preserve">Researcher: </w:t>
      </w:r>
      <w:r>
        <w:rPr>
          <w:rFonts w:ascii="Times New Roman" w:hAnsi="Times New Roman"/>
          <w:b w:val="0"/>
          <w:color w:val="333333"/>
          <w:sz w:val="21"/>
        </w:rPr>
        <w:t>Aryan Ayush</w:t>
        <w:br/>
      </w:r>
      <w:r>
        <w:rPr>
          <w:rFonts w:ascii="Times New Roman" w:hAnsi="Times New Roman"/>
          <w:b/>
          <w:color w:val="333333"/>
          <w:sz w:val="21"/>
        </w:rPr>
        <w:t xml:space="preserve">Role: </w:t>
      </w:r>
      <w:r>
        <w:rPr>
          <w:rFonts w:ascii="Times New Roman" w:hAnsi="Times New Roman"/>
          <w:b w:val="0"/>
          <w:color w:val="333333"/>
          <w:sz w:val="21"/>
        </w:rPr>
        <w:t>Pharmaceutical Research Assistant</w:t>
        <w:br/>
      </w:r>
      <w:r>
        <w:rPr>
          <w:rFonts w:ascii="Times New Roman" w:hAnsi="Times New Roman"/>
          <w:b/>
          <w:color w:val="333333"/>
          <w:sz w:val="21"/>
        </w:rPr>
        <w:t xml:space="preserve">Institution / Internship: </w:t>
      </w:r>
      <w:r>
        <w:rPr>
          <w:rFonts w:ascii="Times New Roman" w:hAnsi="Times New Roman"/>
          <w:b w:val="0"/>
          <w:color w:val="333333"/>
          <w:sz w:val="21"/>
        </w:rPr>
        <w:t>Pharmaceutical Research Assistant Internship</w:t>
        <w:br/>
      </w:r>
      <w:r>
        <w:rPr>
          <w:rFonts w:ascii="Times New Roman" w:hAnsi="Times New Roman"/>
          <w:b/>
          <w:color w:val="333333"/>
          <w:sz w:val="21"/>
        </w:rPr>
        <w:t xml:space="preserve">Date: </w:t>
      </w:r>
      <w:r>
        <w:rPr>
          <w:rFonts w:ascii="Times New Roman" w:hAnsi="Times New Roman"/>
          <w:b w:val="0"/>
          <w:color w:val="333333"/>
          <w:sz w:val="21"/>
        </w:rPr>
        <w:t>September 2026</w:t>
        <w:br/>
      </w:r>
      <w:r>
        <w:rPr>
          <w:rFonts w:ascii="Times New Roman" w:hAnsi="Times New Roman"/>
          <w:b/>
          <w:color w:val="333333"/>
          <w:sz w:val="21"/>
        </w:rPr>
        <w:t xml:space="preserve">Framework: </w:t>
      </w:r>
      <w:r>
        <w:rPr>
          <w:rFonts w:ascii="Times New Roman" w:hAnsi="Times New Roman"/>
          <w:b w:val="0"/>
          <w:color w:val="333333"/>
          <w:sz w:val="21"/>
        </w:rPr>
        <w:t>AntiGravity Enterprise Framework v2.0</w:t>
        <w:br/>
      </w:r>
      <w:r>
        <w:rPr>
          <w:rFonts w:ascii="Times New Roman" w:hAnsi="Times New Roman"/>
          <w:b/>
          <w:color w:val="333333"/>
          <w:sz w:val="21"/>
        </w:rPr>
        <w:t xml:space="preserve">Citation Style: </w:t>
      </w:r>
      <w:r>
        <w:rPr>
          <w:rFonts w:ascii="Times New Roman" w:hAnsi="Times New Roman"/>
          <w:b w:val="0"/>
          <w:color w:val="333333"/>
          <w:sz w:val="21"/>
        </w:rPr>
        <w:t>American Psychological Association (APA) 7th Edition</w:t>
        <w:br/>
      </w:r>
    </w:p>
    <w:p>
      <w:r>
        <w:br w:type="page"/>
      </w:r>
    </w:p>
    <w:p>
      <w:pPr>
        <w:keepNext/>
        <w:spacing w:before="360" w:after="120"/>
      </w:pPr>
      <w:r>
        <w:rPr>
          <w:rFonts w:ascii="Times New Roman" w:hAnsi="Times New Roman"/>
          <w:b/>
          <w:color w:val="1F497D"/>
          <w:sz w:val="32"/>
        </w:rPr>
        <w:t>Table of Contents</w:t>
      </w:r>
    </w:p>
    <w:p>
      <w:pPr>
        <w:spacing w:after="40"/>
      </w:pPr>
      <w:r>
        <w:rPr>
          <w:rFonts w:ascii="Times New Roman" w:hAnsi="Times New Roman"/>
          <w:b/>
          <w:color w:val="1F497D"/>
          <w:sz w:val="21"/>
        </w:rPr>
        <w:t>1. Executive Summary</w:t>
      </w:r>
    </w:p>
    <w:p>
      <w:pPr>
        <w:spacing w:after="40"/>
      </w:pPr>
      <w:r>
        <w:rPr>
          <w:rFonts w:ascii="Times New Roman" w:hAnsi="Times New Roman"/>
          <w:b/>
          <w:color w:val="1F497D"/>
          <w:sz w:val="21"/>
        </w:rPr>
        <w:t>2. Selected Article Metadata and Clinical Significance</w:t>
      </w:r>
    </w:p>
    <w:p>
      <w:pPr>
        <w:spacing w:after="40"/>
      </w:pPr>
      <w:r>
        <w:rPr>
          <w:rFonts w:ascii="Times New Roman" w:hAnsi="Times New Roman"/>
          <w:b/>
          <w:color w:val="1F497D"/>
          <w:sz w:val="21"/>
        </w:rPr>
        <w:t>3. Methodological Appraisal Framework (CONSORT &amp; ICH-GCP)</w:t>
      </w:r>
    </w:p>
    <w:p>
      <w:pPr>
        <w:spacing w:after="40"/>
      </w:pPr>
      <w:r>
        <w:rPr>
          <w:rFonts w:ascii="Times New Roman" w:hAnsi="Times New Roman"/>
          <w:b/>
          <w:color w:val="1F497D"/>
          <w:sz w:val="21"/>
        </w:rPr>
        <w:t>4. 13-Component Comprehensive Methodology Matrix</w:t>
      </w:r>
    </w:p>
    <w:p>
      <w:pPr>
        <w:spacing w:after="40"/>
      </w:pPr>
      <w:r>
        <w:rPr>
          <w:rFonts w:ascii="Times New Roman" w:hAnsi="Times New Roman"/>
          <w:b/>
          <w:color w:val="1F497D"/>
          <w:sz w:val="21"/>
        </w:rPr>
        <w:t>5. Critical Analysis of Methodological Strengths</w:t>
      </w:r>
    </w:p>
    <w:p>
      <w:pPr>
        <w:spacing w:after="40"/>
      </w:pPr>
      <w:r>
        <w:rPr>
          <w:rFonts w:ascii="Times New Roman" w:hAnsi="Times New Roman"/>
          <w:sz w:val="21"/>
        </w:rPr>
        <w:t xml:space="preserve">    5.1 Rigorous Randomization and Double-Blind Integrity</w:t>
      </w:r>
    </w:p>
    <w:p>
      <w:pPr>
        <w:spacing w:after="40"/>
      </w:pPr>
      <w:r>
        <w:rPr>
          <w:rFonts w:ascii="Times New Roman" w:hAnsi="Times New Roman"/>
          <w:sz w:val="21"/>
        </w:rPr>
        <w:t xml:space="preserve">    5.2 Trial Product vs. Treatment Policy Estimand Strategy</w:t>
      </w:r>
    </w:p>
    <w:p>
      <w:pPr>
        <w:spacing w:after="40"/>
      </w:pPr>
      <w:r>
        <w:rPr>
          <w:rFonts w:ascii="Times New Roman" w:hAnsi="Times New Roman"/>
          <w:sz w:val="21"/>
        </w:rPr>
        <w:t xml:space="preserve">    5.3 Exceptional Longitudinal Participant Retention (92.6%)</w:t>
      </w:r>
    </w:p>
    <w:p>
      <w:pPr>
        <w:spacing w:after="40"/>
      </w:pPr>
      <w:r>
        <w:rPr>
          <w:rFonts w:ascii="Times New Roman" w:hAnsi="Times New Roman"/>
          <w:sz w:val="21"/>
        </w:rPr>
        <w:t xml:space="preserve">    5.4 Multi-Center International Diversity</w:t>
      </w:r>
    </w:p>
    <w:p>
      <w:pPr>
        <w:spacing w:after="40"/>
      </w:pPr>
      <w:r>
        <w:rPr>
          <w:rFonts w:ascii="Times New Roman" w:hAnsi="Times New Roman"/>
          <w:b/>
          <w:color w:val="1F497D"/>
          <w:sz w:val="21"/>
        </w:rPr>
        <w:t>6. In-Depth Methodological Vulnerabilities and Blindspots</w:t>
      </w:r>
    </w:p>
    <w:p>
      <w:pPr>
        <w:spacing w:after="40"/>
      </w:pPr>
      <w:r>
        <w:rPr>
          <w:rFonts w:ascii="Times New Roman" w:hAnsi="Times New Roman"/>
          <w:sz w:val="21"/>
        </w:rPr>
        <w:t xml:space="preserve">    6.1 Systematic Psychiatric Exclusion and External Validity Loss</w:t>
      </w:r>
    </w:p>
    <w:p>
      <w:pPr>
        <w:spacing w:after="40"/>
      </w:pPr>
      <w:r>
        <w:rPr>
          <w:rFonts w:ascii="Times New Roman" w:hAnsi="Times New Roman"/>
          <w:sz w:val="21"/>
        </w:rPr>
        <w:t xml:space="preserve">    6.2 Passive Safety Capture vs. Active Neuropsychiatric Surveillance</w:t>
      </w:r>
    </w:p>
    <w:p>
      <w:pPr>
        <w:spacing w:after="40"/>
      </w:pPr>
      <w:r>
        <w:rPr>
          <w:rFonts w:ascii="Times New Roman" w:hAnsi="Times New Roman"/>
          <w:sz w:val="21"/>
        </w:rPr>
        <w:t xml:space="preserve">    6.3 Placebo Control vs. Active Comparator Limitations</w:t>
      </w:r>
    </w:p>
    <w:p>
      <w:pPr>
        <w:spacing w:after="40"/>
      </w:pPr>
      <w:r>
        <w:rPr>
          <w:rFonts w:ascii="Times New Roman" w:hAnsi="Times New Roman"/>
          <w:sz w:val="21"/>
        </w:rPr>
        <w:t xml:space="preserve">    6.4 Post-Cessation Metabolic and Psychological Rebound</w:t>
      </w:r>
    </w:p>
    <w:p>
      <w:pPr>
        <w:spacing w:after="40"/>
      </w:pPr>
      <w:r>
        <w:rPr>
          <w:rFonts w:ascii="Times New Roman" w:hAnsi="Times New Roman"/>
          <w:sz w:val="21"/>
        </w:rPr>
        <w:t xml:space="preserve">    6.5 Industry Sponsorship and Reporting Architecture</w:t>
      </w:r>
    </w:p>
    <w:p>
      <w:pPr>
        <w:spacing w:after="40"/>
      </w:pPr>
      <w:r>
        <w:rPr>
          <w:rFonts w:ascii="Times New Roman" w:hAnsi="Times New Roman"/>
          <w:b/>
          <w:color w:val="1F497D"/>
          <w:sz w:val="21"/>
        </w:rPr>
        <w:t>7. Actionable Methodological Recommendations for Future Trials</w:t>
      </w:r>
    </w:p>
    <w:p>
      <w:pPr>
        <w:spacing w:after="40"/>
      </w:pPr>
      <w:r>
        <w:rPr>
          <w:rFonts w:ascii="Times New Roman" w:hAnsi="Times New Roman"/>
          <w:b/>
          <w:color w:val="1F497D"/>
          <w:sz w:val="21"/>
        </w:rPr>
        <w:t>8. Cross-Week Synthesis: Why Pre-Approval RCTs Miss Post-Marketing Signals</w:t>
      </w:r>
    </w:p>
    <w:p>
      <w:pPr>
        <w:spacing w:after="40"/>
      </w:pPr>
      <w:r>
        <w:rPr>
          <w:rFonts w:ascii="Times New Roman" w:hAnsi="Times New Roman"/>
          <w:b/>
          <w:color w:val="1F497D"/>
          <w:sz w:val="21"/>
        </w:rPr>
        <w:t>9. References (APA 7th Edition)</w:t>
      </w:r>
    </w:p>
    <w:p>
      <w:r>
        <w:br w:type="page"/>
      </w:r>
    </w:p>
    <w:p>
      <w:pPr>
        <w:keepNext/>
        <w:spacing w:before="360" w:after="120"/>
      </w:pPr>
      <w:r>
        <w:rPr>
          <w:rFonts w:ascii="Times New Roman" w:hAnsi="Times New Roman"/>
          <w:b/>
          <w:color w:val="1F497D"/>
          <w:sz w:val="32"/>
        </w:rPr>
        <w:t>1. Executive Summary</w:t>
      </w:r>
    </w:p>
    <w:p>
      <w:r>
        <w:t>This Week 4 critical appraisal presents an exhaustive methodological evaluation of the landmark STEP 1 trial (Wilding et al., 2021, New England Journal of Medicine), the pivotal Phase 3 randomized controlled trial that secured FDA and EMA approval for semaglutide 2.4 mg (Wegovy) for chronic weight management. The study demonstrated remarkable therapeutic efficacy, achieving a mean body-weight reduction of -14.9% with semaglutide versus -2.4% with placebo over 68 weeks.</w:t>
      </w:r>
    </w:p>
    <w:p>
      <w:r>
        <w:t>Utilizing a 13-component appraisal matrix grounded in CONSORT 2010 and ICH-E6 GCP guidelines, we critically scrutinized the trial's architecture. While STEP 1 demonstrated exemplary randomized trial rigor—including central interactive response system allocation, double-blind masking, 92.6% participant completion, and dual estimand frameworks—it exhibits critical structural vulnerabilities regarding safety surveillance. Most significantly, the protocol systematically excluded individuals with major psychiatric illness or recent suicidal history and relied on passive, spontaneous reporting for adverse events rather than validated prospective psychometric rating scales.</w:t>
      </w:r>
    </w:p>
    <w:p>
      <w:pPr>
        <w:spacing w:before="120" w:after="160"/>
        <w:ind w:left="432" w:right="432"/>
      </w:pPr>
      <w:r>
        <w:rPr>
          <w:b/>
          <w:color w:val="1F497D"/>
        </w:rPr>
        <w:t xml:space="preserve">[NOTE] </w:t>
      </w:r>
      <w:r>
        <w:rPr>
          <w:i/>
          <w:color w:val="333333"/>
        </w:rPr>
        <w:t>Appraisal Conclusion: The STEP 1 trial is an exemplary efficacy study that established semaglutide's weight-loss superiority. However, its restrictive eligibility and passive safety monitoring created a systemic blindspot for neuropsychiatric adverse reactions, explaining why disproportionality signals for suicidal ideation and depression emerged only after millions of diverse patients were exposed in real-world post-marketing environments (Weeks 1 and 2).</w:t>
      </w:r>
    </w:p>
    <w:p>
      <w:pPr>
        <w:keepNext/>
        <w:spacing w:before="360" w:after="120"/>
      </w:pPr>
      <w:r>
        <w:rPr>
          <w:rFonts w:ascii="Times New Roman" w:hAnsi="Times New Roman"/>
          <w:b/>
          <w:color w:val="1F497D"/>
          <w:sz w:val="32"/>
        </w:rPr>
        <w:t>2. Selected Article Metadata and Clinical Significance</w:t>
      </w:r>
    </w:p>
    <w:p>
      <w:r>
        <w:t>The appraised publication is documented below with verified scholarly metadata:</w:t>
      </w:r>
    </w:p>
    <w:tbl>
      <w:tblPr>
        <w:tblW w:type="auto" w:w="0"/>
        <w:jc w:val="center"/>
        <w:tblLook w:firstColumn="1" w:firstRow="1" w:lastColumn="0" w:lastRow="0" w:noHBand="0" w:noVBand="1" w:val="04A0"/>
        <w:tblBorders>
          <w:top w:val="single" w:sz="6" w:space="0" w:color="CCCCCC"/>
          <w:bottom w:val="single" w:sz="8" w:space="0" w:color="1F497D"/>
          <w:insideH w:val="single" w:sz="4" w:space="0" w:color="E0E0E0"/>
          <w:insideV w:val="none"/>
          <w:left w:val="none"/>
          <w:right w:val="none"/>
        </w:tblBorders>
      </w:tblPr>
      <w:tblGrid>
        <w:gridCol w:w="4680"/>
        <w:gridCol w:w="4680"/>
      </w:tblGrid>
      <w:tr>
        <w:tc>
          <w:tcPr>
            <w:tcW w:type="dxa" w:w="2880"/>
            <w:shd w:fill="1F497D"/>
            <w:tcMar>
              <w:top w:w="140" w:type="dxa"/>
              <w:bottom w:w="140" w:type="dxa"/>
              <w:left w:w="180" w:type="dxa"/>
              <w:right w:w="180" w:type="dxa"/>
            </w:tcMar>
            <w:vAlign w:val="center"/>
          </w:tcPr>
          <w:p>
            <w:pPr>
              <w:jc w:val="left"/>
            </w:pPr>
            <w:r>
              <w:rPr>
                <w:rFonts w:ascii="Times New Roman" w:hAnsi="Times New Roman"/>
                <w:b/>
                <w:color w:val="FFFFFF"/>
                <w:sz w:val="20"/>
              </w:rPr>
              <w:t>Article Title</w:t>
            </w:r>
          </w:p>
        </w:tc>
        <w:tc>
          <w:tcPr>
            <w:tcW w:type="dxa" w:w="6480"/>
            <w:shd w:fill="1F497D"/>
            <w:tcMar>
              <w:top w:w="140" w:type="dxa"/>
              <w:bottom w:w="140" w:type="dxa"/>
              <w:left w:w="180" w:type="dxa"/>
              <w:right w:w="180" w:type="dxa"/>
            </w:tcMar>
            <w:vAlign w:val="center"/>
          </w:tcPr>
          <w:p>
            <w:pPr>
              <w:jc w:val="left"/>
            </w:pPr>
            <w:r>
              <w:rPr>
                <w:rFonts w:ascii="Times New Roman" w:hAnsi="Times New Roman"/>
                <w:b/>
                <w:color w:val="FFFFFF"/>
                <w:sz w:val="20"/>
              </w:rPr>
              <w:t>Once-Weekly Semaglutide in Adults with Overweight or Obesity (STEP 1 Trial)</w:t>
            </w:r>
          </w:p>
        </w:tc>
      </w:tr>
      <w:tr>
        <w:tc>
          <w:tcPr>
            <w:tcW w:type="dxa" w:w="2880"/>
            <w:shd w:fill="F2F4F7"/>
            <w:tcMar>
              <w:top w:w="100" w:type="dxa"/>
              <w:bottom w:w="100" w:type="dxa"/>
              <w:left w:w="150" w:type="dxa"/>
              <w:right w:w="150" w:type="dxa"/>
            </w:tcMar>
            <w:vAlign w:val="center"/>
          </w:tcPr>
          <w:p>
            <w:r>
              <w:rPr>
                <w:rFonts w:ascii="Times New Roman" w:hAnsi="Times New Roman"/>
                <w:color w:val="333333"/>
                <w:sz w:val="19"/>
              </w:rPr>
              <w:t>Lead Authors</w:t>
            </w:r>
          </w:p>
        </w:tc>
        <w:tc>
          <w:tcPr>
            <w:tcW w:type="dxa" w:w="6480"/>
            <w:shd w:fill="F2F4F7"/>
            <w:tcMar>
              <w:top w:w="100" w:type="dxa"/>
              <w:bottom w:w="100" w:type="dxa"/>
              <w:left w:w="150" w:type="dxa"/>
              <w:right w:w="150" w:type="dxa"/>
            </w:tcMar>
            <w:vAlign w:val="center"/>
          </w:tcPr>
          <w:p>
            <w:r>
              <w:rPr>
                <w:rFonts w:ascii="Times New Roman" w:hAnsi="Times New Roman"/>
                <w:color w:val="333333"/>
                <w:sz w:val="19"/>
              </w:rPr>
              <w:t>John P.H. Wilding, D.M., Rachel L. Batterham, M.B., B.S., Ph.D., Salvatore Calanna, Ph.D., et al.</w:t>
            </w:r>
          </w:p>
        </w:tc>
      </w:tr>
      <w:tr>
        <w:tc>
          <w:tcPr>
            <w:tcW w:type="dxa" w:w="2880"/>
            <w:shd w:fill="FFFFFF"/>
            <w:tcMar>
              <w:top w:w="100" w:type="dxa"/>
              <w:bottom w:w="100" w:type="dxa"/>
              <w:left w:w="150" w:type="dxa"/>
              <w:right w:w="150" w:type="dxa"/>
            </w:tcMar>
            <w:vAlign w:val="center"/>
          </w:tcPr>
          <w:p>
            <w:r>
              <w:rPr>
                <w:rFonts w:ascii="Times New Roman" w:hAnsi="Times New Roman"/>
                <w:color w:val="333333"/>
                <w:sz w:val="19"/>
              </w:rPr>
              <w:t>Journal &amp; Date</w:t>
            </w:r>
          </w:p>
        </w:tc>
        <w:tc>
          <w:tcPr>
            <w:tcW w:type="dxa" w:w="6480"/>
            <w:shd w:fill="FFFFFF"/>
            <w:tcMar>
              <w:top w:w="100" w:type="dxa"/>
              <w:bottom w:w="100" w:type="dxa"/>
              <w:left w:w="150" w:type="dxa"/>
              <w:right w:w="150" w:type="dxa"/>
            </w:tcMar>
            <w:vAlign w:val="center"/>
          </w:tcPr>
          <w:p>
            <w:r>
              <w:rPr>
                <w:rFonts w:ascii="Times New Roman" w:hAnsi="Times New Roman"/>
                <w:color w:val="333333"/>
                <w:sz w:val="19"/>
              </w:rPr>
              <w:t>New England Journal of Medicine (NEJM), March 18, 2021; Vol. 384, No. 11, pp. 989–1002</w:t>
            </w:r>
          </w:p>
        </w:tc>
      </w:tr>
      <w:tr>
        <w:tc>
          <w:tcPr>
            <w:tcW w:type="dxa" w:w="2880"/>
            <w:shd w:fill="F2F4F7"/>
            <w:tcMar>
              <w:top w:w="100" w:type="dxa"/>
              <w:bottom w:w="100" w:type="dxa"/>
              <w:left w:w="150" w:type="dxa"/>
              <w:right w:w="150" w:type="dxa"/>
            </w:tcMar>
            <w:vAlign w:val="center"/>
          </w:tcPr>
          <w:p>
            <w:r>
              <w:rPr>
                <w:rFonts w:ascii="Times New Roman" w:hAnsi="Times New Roman"/>
                <w:color w:val="333333"/>
                <w:sz w:val="19"/>
              </w:rPr>
              <w:t>Identifiers</w:t>
            </w:r>
          </w:p>
        </w:tc>
        <w:tc>
          <w:tcPr>
            <w:tcW w:type="dxa" w:w="6480"/>
            <w:shd w:fill="F2F4F7"/>
            <w:tcMar>
              <w:top w:w="100" w:type="dxa"/>
              <w:bottom w:w="100" w:type="dxa"/>
              <w:left w:w="150" w:type="dxa"/>
              <w:right w:w="150" w:type="dxa"/>
            </w:tcMar>
            <w:vAlign w:val="center"/>
          </w:tcPr>
          <w:p>
            <w:r>
              <w:rPr>
                <w:rFonts w:ascii="Times New Roman" w:hAnsi="Times New Roman"/>
                <w:color w:val="333333"/>
                <w:sz w:val="19"/>
              </w:rPr>
              <w:t>DOI: 10.1056/NEJMoa2032183 | PMID: 33567185 | ClinicalTrials.gov: NCT03548935</w:t>
            </w:r>
          </w:p>
        </w:tc>
      </w:tr>
      <w:tr>
        <w:tc>
          <w:tcPr>
            <w:tcW w:type="dxa" w:w="2880"/>
            <w:shd w:fill="FFFFFF"/>
            <w:tcMar>
              <w:top w:w="100" w:type="dxa"/>
              <w:bottom w:w="100" w:type="dxa"/>
              <w:left w:w="150" w:type="dxa"/>
              <w:right w:w="150" w:type="dxa"/>
            </w:tcMar>
            <w:vAlign w:val="center"/>
          </w:tcPr>
          <w:p>
            <w:r>
              <w:rPr>
                <w:rFonts w:ascii="Times New Roman" w:hAnsi="Times New Roman"/>
                <w:color w:val="333333"/>
                <w:sz w:val="19"/>
              </w:rPr>
              <w:t>Study Design</w:t>
            </w:r>
          </w:p>
        </w:tc>
        <w:tc>
          <w:tcPr>
            <w:tcW w:type="dxa" w:w="6480"/>
            <w:shd w:fill="FFFFFF"/>
            <w:tcMar>
              <w:top w:w="100" w:type="dxa"/>
              <w:bottom w:w="100" w:type="dxa"/>
              <w:left w:w="150" w:type="dxa"/>
              <w:right w:w="150" w:type="dxa"/>
            </w:tcMar>
            <w:vAlign w:val="center"/>
          </w:tcPr>
          <w:p>
            <w:r>
              <w:rPr>
                <w:rFonts w:ascii="Times New Roman" w:hAnsi="Times New Roman"/>
                <w:color w:val="333333"/>
                <w:sz w:val="19"/>
              </w:rPr>
              <w:t>Phase 3a, randomized, double-blind, placebo-controlled, multinational trial (129 sites, 16 countries)</w:t>
            </w:r>
          </w:p>
        </w:tc>
      </w:tr>
      <w:tr>
        <w:tc>
          <w:tcPr>
            <w:tcW w:type="dxa" w:w="2880"/>
            <w:shd w:fill="F2F4F7"/>
            <w:tcMar>
              <w:top w:w="100" w:type="dxa"/>
              <w:bottom w:w="100" w:type="dxa"/>
              <w:left w:w="150" w:type="dxa"/>
              <w:right w:w="150" w:type="dxa"/>
            </w:tcMar>
            <w:vAlign w:val="center"/>
          </w:tcPr>
          <w:p>
            <w:r>
              <w:rPr>
                <w:rFonts w:ascii="Times New Roman" w:hAnsi="Times New Roman"/>
                <w:color w:val="333333"/>
                <w:sz w:val="19"/>
              </w:rPr>
              <w:t>Population Size</w:t>
            </w:r>
          </w:p>
        </w:tc>
        <w:tc>
          <w:tcPr>
            <w:tcW w:type="dxa" w:w="6480"/>
            <w:shd w:fill="F2F4F7"/>
            <w:tcMar>
              <w:top w:w="100" w:type="dxa"/>
              <w:bottom w:w="100" w:type="dxa"/>
              <w:left w:w="150" w:type="dxa"/>
              <w:right w:w="150" w:type="dxa"/>
            </w:tcMar>
            <w:vAlign w:val="center"/>
          </w:tcPr>
          <w:p>
            <w:r>
              <w:rPr>
                <w:rFonts w:ascii="Times New Roman" w:hAnsi="Times New Roman"/>
                <w:color w:val="333333"/>
                <w:sz w:val="19"/>
              </w:rPr>
              <w:t>N = 1,961 adults without type 2 diabetes (BMI &gt;= 30, or &gt;= 27 with &gt;= 1 weight-related condition)</w:t>
            </w:r>
          </w:p>
        </w:tc>
      </w:tr>
      <w:tr>
        <w:tc>
          <w:tcPr>
            <w:tcW w:type="dxa" w:w="2880"/>
            <w:shd w:fill="FFFFFF"/>
            <w:tcMar>
              <w:top w:w="100" w:type="dxa"/>
              <w:bottom w:w="100" w:type="dxa"/>
              <w:left w:w="150" w:type="dxa"/>
              <w:right w:w="150" w:type="dxa"/>
            </w:tcMar>
            <w:vAlign w:val="center"/>
          </w:tcPr>
          <w:p>
            <w:r>
              <w:rPr>
                <w:rFonts w:ascii="Times New Roman" w:hAnsi="Times New Roman"/>
                <w:color w:val="333333"/>
                <w:sz w:val="19"/>
              </w:rPr>
              <w:t>Intervention Arms</w:t>
            </w:r>
          </w:p>
        </w:tc>
        <w:tc>
          <w:tcPr>
            <w:tcW w:type="dxa" w:w="6480"/>
            <w:shd w:fill="FFFFFF"/>
            <w:tcMar>
              <w:top w:w="100" w:type="dxa"/>
              <w:bottom w:w="100" w:type="dxa"/>
              <w:left w:w="150" w:type="dxa"/>
              <w:right w:w="150" w:type="dxa"/>
            </w:tcMar>
            <w:vAlign w:val="center"/>
          </w:tcPr>
          <w:p>
            <w:r>
              <w:rPr>
                <w:rFonts w:ascii="Times New Roman" w:hAnsi="Times New Roman"/>
                <w:color w:val="333333"/>
                <w:sz w:val="19"/>
              </w:rPr>
              <w:t>Semaglutide SC 2.4 mg once weekly (N = 1,306) vs. Matched Placebo (N = 655) for 68 weeks + lifestyle intervention</w:t>
            </w:r>
          </w:p>
        </w:tc>
      </w:tr>
      <w:tr>
        <w:tc>
          <w:tcPr>
            <w:tcW w:type="dxa" w:w="2880"/>
            <w:shd w:fill="F2F4F7"/>
            <w:tcMar>
              <w:top w:w="100" w:type="dxa"/>
              <w:bottom w:w="100" w:type="dxa"/>
              <w:left w:w="150" w:type="dxa"/>
              <w:right w:w="150" w:type="dxa"/>
            </w:tcMar>
            <w:vAlign w:val="center"/>
          </w:tcPr>
          <w:p>
            <w:r>
              <w:rPr>
                <w:rFonts w:ascii="Times New Roman" w:hAnsi="Times New Roman"/>
                <w:color w:val="333333"/>
                <w:sz w:val="19"/>
              </w:rPr>
              <w:t>Primary Endpoints</w:t>
            </w:r>
          </w:p>
        </w:tc>
        <w:tc>
          <w:tcPr>
            <w:tcW w:type="dxa" w:w="6480"/>
            <w:shd w:fill="F2F4F7"/>
            <w:tcMar>
              <w:top w:w="100" w:type="dxa"/>
              <w:bottom w:w="100" w:type="dxa"/>
              <w:left w:w="150" w:type="dxa"/>
              <w:right w:w="150" w:type="dxa"/>
            </w:tcMar>
            <w:vAlign w:val="center"/>
          </w:tcPr>
          <w:p>
            <w:r>
              <w:rPr>
                <w:rFonts w:ascii="Times New Roman" w:hAnsi="Times New Roman"/>
                <w:color w:val="333333"/>
                <w:sz w:val="19"/>
              </w:rPr>
              <w:t>Percentage change in body weight and achievement of &gt;= 5% weight reduction at week 68</w:t>
            </w:r>
          </w:p>
        </w:tc>
      </w:tr>
    </w:tbl>
    <w:p/>
    <w:p>
      <w:pPr>
        <w:keepNext/>
        <w:spacing w:before="360" w:after="120"/>
      </w:pPr>
      <w:r>
        <w:rPr>
          <w:rFonts w:ascii="Times New Roman" w:hAnsi="Times New Roman"/>
          <w:b/>
          <w:color w:val="1F497D"/>
          <w:sz w:val="32"/>
        </w:rPr>
        <w:t>3. Methodological Appraisal Framework (CONSORT &amp; ICH-GCP)</w:t>
      </w:r>
    </w:p>
    <w:p>
      <w:r>
        <w:t>The evaluation benchmarked the published trial against the Consolidated Standards of Reporting Trials (CONSORT 2010) statement, ICH-E6 (R2) Good Clinical Practice guidelines, and the FDA Guidance on Safety Assessment in Clinical Trials. Rather than assigning arbitrary subjective numerical scores, we executed an objective component-by-component comparative assessment comparing the published approach against gold-standard best practices.</w:t>
      </w:r>
    </w:p>
    <w:p>
      <w:pPr>
        <w:keepNext/>
        <w:spacing w:before="360" w:after="120"/>
      </w:pPr>
      <w:r>
        <w:rPr>
          <w:rFonts w:ascii="Times New Roman" w:hAnsi="Times New Roman"/>
          <w:b/>
          <w:color w:val="1F497D"/>
          <w:sz w:val="32"/>
        </w:rPr>
        <w:t>4. 13-Component Comprehensive Methodology Matrix</w:t>
      </w:r>
    </w:p>
    <w:p>
      <w:r>
        <w:t>Table 3 provides the detailed comparative analysis across the 13 fundamental methodological dimensions:</w:t>
      </w:r>
    </w:p>
    <w:tbl>
      <w:tblPr>
        <w:tblW w:type="auto" w:w="0"/>
        <w:jc w:val="center"/>
        <w:tblLook w:firstColumn="1" w:firstRow="1" w:lastColumn="0" w:lastRow="0" w:noHBand="0" w:noVBand="1" w:val="04A0"/>
        <w:tblBorders>
          <w:top w:val="single" w:sz="6" w:space="0" w:color="CCCCCC"/>
          <w:bottom w:val="single" w:sz="8" w:space="0" w:color="1F497D"/>
          <w:insideH w:val="single" w:sz="4" w:space="0" w:color="E0E0E0"/>
          <w:insideV w:val="none"/>
          <w:left w:val="none"/>
          <w:right w:val="none"/>
        </w:tblBorders>
      </w:tblPr>
      <w:tblGrid>
        <w:gridCol w:w="2340"/>
        <w:gridCol w:w="2340"/>
        <w:gridCol w:w="2340"/>
        <w:gridCol w:w="2340"/>
      </w:tblGrid>
      <w:tr>
        <w:tc>
          <w:tcPr>
            <w:tcW w:type="dxa" w:w="1872"/>
            <w:shd w:fill="1F497D"/>
            <w:tcMar>
              <w:top w:w="140" w:type="dxa"/>
              <w:bottom w:w="140" w:type="dxa"/>
              <w:left w:w="180" w:type="dxa"/>
              <w:right w:w="180" w:type="dxa"/>
            </w:tcMar>
            <w:vAlign w:val="center"/>
          </w:tcPr>
          <w:p>
            <w:pPr>
              <w:jc w:val="left"/>
            </w:pPr>
            <w:r>
              <w:rPr>
                <w:rFonts w:ascii="Times New Roman" w:hAnsi="Times New Roman"/>
                <w:b/>
                <w:color w:val="FFFFFF"/>
                <w:sz w:val="20"/>
              </w:rPr>
              <w:t>Component</w:t>
            </w:r>
          </w:p>
        </w:tc>
        <w:tc>
          <w:tcPr>
            <w:tcW w:type="dxa" w:w="2592"/>
            <w:shd w:fill="1F497D"/>
            <w:tcMar>
              <w:top w:w="140" w:type="dxa"/>
              <w:bottom w:w="140" w:type="dxa"/>
              <w:left w:w="180" w:type="dxa"/>
              <w:right w:w="180" w:type="dxa"/>
            </w:tcMar>
            <w:vAlign w:val="center"/>
          </w:tcPr>
          <w:p>
            <w:pPr>
              <w:jc w:val="left"/>
            </w:pPr>
            <w:r>
              <w:rPr>
                <w:rFonts w:ascii="Times New Roman" w:hAnsi="Times New Roman"/>
                <w:b/>
                <w:color w:val="FFFFFF"/>
                <w:sz w:val="20"/>
              </w:rPr>
              <w:t>Published Study Approach</w:t>
            </w:r>
          </w:p>
        </w:tc>
        <w:tc>
          <w:tcPr>
            <w:tcW w:type="dxa" w:w="2448"/>
            <w:shd w:fill="1F497D"/>
            <w:tcMar>
              <w:top w:w="140" w:type="dxa"/>
              <w:bottom w:w="140" w:type="dxa"/>
              <w:left w:w="180" w:type="dxa"/>
              <w:right w:w="180" w:type="dxa"/>
            </w:tcMar>
            <w:vAlign w:val="center"/>
          </w:tcPr>
          <w:p>
            <w:pPr>
              <w:jc w:val="left"/>
            </w:pPr>
            <w:r>
              <w:rPr>
                <w:rFonts w:ascii="Times New Roman" w:hAnsi="Times New Roman"/>
                <w:b/>
                <w:color w:val="FFFFFF"/>
                <w:sz w:val="20"/>
              </w:rPr>
              <w:t>Best-Practice Expectation</w:t>
            </w:r>
          </w:p>
        </w:tc>
        <w:tc>
          <w:tcPr>
            <w:tcW w:type="dxa" w:w="2448"/>
            <w:shd w:fill="1F497D"/>
            <w:tcMar>
              <w:top w:w="140" w:type="dxa"/>
              <w:bottom w:w="140" w:type="dxa"/>
              <w:left w:w="180" w:type="dxa"/>
              <w:right w:w="180" w:type="dxa"/>
            </w:tcMar>
            <w:vAlign w:val="center"/>
          </w:tcPr>
          <w:p>
            <w:pPr>
              <w:jc w:val="left"/>
            </w:pPr>
            <w:r>
              <w:rPr>
                <w:rFonts w:ascii="Times New Roman" w:hAnsi="Times New Roman"/>
                <w:b/>
                <w:color w:val="FFFFFF"/>
                <w:sz w:val="20"/>
              </w:rPr>
              <w:t>Assessment &amp; Identified Gap</w:t>
            </w:r>
          </w:p>
        </w:tc>
      </w:tr>
      <w:tr>
        <w:tc>
          <w:tcPr>
            <w:tcW w:type="dxa" w:w="1872"/>
            <w:shd w:fill="F2F4F7"/>
            <w:tcMar>
              <w:top w:w="100" w:type="dxa"/>
              <w:bottom w:w="100" w:type="dxa"/>
              <w:left w:w="150" w:type="dxa"/>
              <w:right w:w="150" w:type="dxa"/>
            </w:tcMar>
            <w:vAlign w:val="center"/>
          </w:tcPr>
          <w:p>
            <w:r>
              <w:rPr>
                <w:rFonts w:ascii="Times New Roman" w:hAnsi="Times New Roman"/>
                <w:color w:val="333333"/>
                <w:sz w:val="19"/>
              </w:rPr>
              <w:t>Research Question</w:t>
            </w:r>
          </w:p>
        </w:tc>
        <w:tc>
          <w:tcPr>
            <w:tcW w:type="dxa" w:w="2592"/>
            <w:shd w:fill="F2F4F7"/>
            <w:tcMar>
              <w:top w:w="100" w:type="dxa"/>
              <w:bottom w:w="100" w:type="dxa"/>
              <w:left w:w="150" w:type="dxa"/>
              <w:right w:w="150" w:type="dxa"/>
            </w:tcMar>
            <w:vAlign w:val="center"/>
          </w:tcPr>
          <w:p>
            <w:r>
              <w:rPr>
                <w:rFonts w:ascii="Times New Roman" w:hAnsi="Times New Roman"/>
                <w:color w:val="333333"/>
                <w:sz w:val="19"/>
              </w:rPr>
              <w:t>STEP 1 had clear PICO</w:t>
            </w:r>
          </w:p>
        </w:tc>
        <w:tc>
          <w:tcPr>
            <w:tcW w:type="dxa" w:w="2448"/>
            <w:shd w:fill="F2F4F7"/>
            <w:tcMar>
              <w:top w:w="100" w:type="dxa"/>
              <w:bottom w:w="100" w:type="dxa"/>
              <w:left w:w="150" w:type="dxa"/>
              <w:right w:w="150" w:type="dxa"/>
            </w:tcMar>
            <w:vAlign w:val="center"/>
          </w:tcPr>
          <w:p>
            <w:r>
              <w:rPr>
                <w:rFonts w:ascii="Times New Roman" w:hAnsi="Times New Roman"/>
                <w:color w:val="333333"/>
                <w:sz w:val="19"/>
              </w:rPr>
              <w:t>Specific measurable question</w:t>
            </w:r>
          </w:p>
        </w:tc>
        <w:tc>
          <w:tcPr>
            <w:tcW w:type="dxa" w:w="2448"/>
            <w:shd w:fill="F2F4F7"/>
            <w:tcMar>
              <w:top w:w="100" w:type="dxa"/>
              <w:bottom w:w="100" w:type="dxa"/>
              <w:left w:w="150" w:type="dxa"/>
              <w:right w:w="150" w:type="dxa"/>
            </w:tcMar>
            <w:vAlign w:val="center"/>
          </w:tcPr>
          <w:p>
            <w:r>
              <w:rPr>
                <w:rFonts w:ascii="Times New Roman" w:hAnsi="Times New Roman"/>
                <w:color w:val="333333"/>
                <w:sz w:val="19"/>
              </w:rPr>
              <w:t>Meets standard but focus is efficacy over safety</w:t>
            </w:r>
          </w:p>
        </w:tc>
      </w:tr>
      <w:tr>
        <w:tc>
          <w:tcPr>
            <w:tcW w:type="dxa" w:w="1872"/>
            <w:shd w:fill="FFFFFF"/>
            <w:tcMar>
              <w:top w:w="100" w:type="dxa"/>
              <w:bottom w:w="100" w:type="dxa"/>
              <w:left w:w="150" w:type="dxa"/>
              <w:right w:w="150" w:type="dxa"/>
            </w:tcMar>
            <w:vAlign w:val="center"/>
          </w:tcPr>
          <w:p>
            <w:r>
              <w:rPr>
                <w:rFonts w:ascii="Times New Roman" w:hAnsi="Times New Roman"/>
                <w:color w:val="333333"/>
                <w:sz w:val="19"/>
              </w:rPr>
              <w:t>Study Design</w:t>
            </w:r>
          </w:p>
        </w:tc>
        <w:tc>
          <w:tcPr>
            <w:tcW w:type="dxa" w:w="2592"/>
            <w:shd w:fill="FFFFFF"/>
            <w:tcMar>
              <w:top w:w="100" w:type="dxa"/>
              <w:bottom w:w="100" w:type="dxa"/>
              <w:left w:w="150" w:type="dxa"/>
              <w:right w:w="150" w:type="dxa"/>
            </w:tcMar>
            <w:vAlign w:val="center"/>
          </w:tcPr>
          <w:p>
            <w:r>
              <w:rPr>
                <w:rFonts w:ascii="Times New Roman" w:hAnsi="Times New Roman"/>
                <w:color w:val="333333"/>
                <w:sz w:val="19"/>
              </w:rPr>
              <w:t>RCT double-blind placebo-controlled</w:t>
            </w:r>
          </w:p>
        </w:tc>
        <w:tc>
          <w:tcPr>
            <w:tcW w:type="dxa" w:w="2448"/>
            <w:shd w:fill="FFFFFF"/>
            <w:tcMar>
              <w:top w:w="100" w:type="dxa"/>
              <w:bottom w:w="100" w:type="dxa"/>
              <w:left w:w="150" w:type="dxa"/>
              <w:right w:w="150" w:type="dxa"/>
            </w:tcMar>
            <w:vAlign w:val="center"/>
          </w:tcPr>
          <w:p>
            <w:r>
              <w:rPr>
                <w:rFonts w:ascii="Times New Roman" w:hAnsi="Times New Roman"/>
                <w:color w:val="333333"/>
                <w:sz w:val="19"/>
              </w:rPr>
              <w:t>Appropriate for objective</w:t>
            </w:r>
          </w:p>
        </w:tc>
        <w:tc>
          <w:tcPr>
            <w:tcW w:type="dxa" w:w="2448"/>
            <w:shd w:fill="FFFFFF"/>
            <w:tcMar>
              <w:top w:w="100" w:type="dxa"/>
              <w:bottom w:w="100" w:type="dxa"/>
              <w:left w:w="150" w:type="dxa"/>
              <w:right w:w="150" w:type="dxa"/>
            </w:tcMar>
            <w:vAlign w:val="center"/>
          </w:tcPr>
          <w:p>
            <w:r>
              <w:rPr>
                <w:rFonts w:ascii="Times New Roman" w:hAnsi="Times New Roman"/>
                <w:color w:val="333333"/>
                <w:sz w:val="19"/>
              </w:rPr>
              <w:t>Meets gold standard but no active comparator</w:t>
            </w:r>
          </w:p>
        </w:tc>
      </w:tr>
      <w:tr>
        <w:tc>
          <w:tcPr>
            <w:tcW w:type="dxa" w:w="1872"/>
            <w:shd w:fill="F2F4F7"/>
            <w:tcMar>
              <w:top w:w="100" w:type="dxa"/>
              <w:bottom w:w="100" w:type="dxa"/>
              <w:left w:w="150" w:type="dxa"/>
              <w:right w:w="150" w:type="dxa"/>
            </w:tcMar>
            <w:vAlign w:val="center"/>
          </w:tcPr>
          <w:p>
            <w:r>
              <w:rPr>
                <w:rFonts w:ascii="Times New Roman" w:hAnsi="Times New Roman"/>
                <w:color w:val="333333"/>
                <w:sz w:val="19"/>
              </w:rPr>
              <w:t>Sample Size</w:t>
            </w:r>
          </w:p>
        </w:tc>
        <w:tc>
          <w:tcPr>
            <w:tcW w:type="dxa" w:w="2592"/>
            <w:shd w:fill="F2F4F7"/>
            <w:tcMar>
              <w:top w:w="100" w:type="dxa"/>
              <w:bottom w:w="100" w:type="dxa"/>
              <w:left w:w="150" w:type="dxa"/>
              <w:right w:w="150" w:type="dxa"/>
            </w:tcMar>
            <w:vAlign w:val="center"/>
          </w:tcPr>
          <w:p>
            <w:r>
              <w:rPr>
                <w:rFonts w:ascii="Times New Roman" w:hAnsi="Times New Roman"/>
                <w:color w:val="333333"/>
                <w:sz w:val="19"/>
              </w:rPr>
              <w:t>N=1,961 (2:1)</w:t>
            </w:r>
          </w:p>
        </w:tc>
        <w:tc>
          <w:tcPr>
            <w:tcW w:type="dxa" w:w="2448"/>
            <w:shd w:fill="F2F4F7"/>
            <w:tcMar>
              <w:top w:w="100" w:type="dxa"/>
              <w:bottom w:w="100" w:type="dxa"/>
              <w:left w:w="150" w:type="dxa"/>
              <w:right w:w="150" w:type="dxa"/>
            </w:tcMar>
            <w:vAlign w:val="center"/>
          </w:tcPr>
          <w:p>
            <w:r>
              <w:rPr>
                <w:rFonts w:ascii="Times New Roman" w:hAnsi="Times New Roman"/>
                <w:color w:val="333333"/>
                <w:sz w:val="19"/>
              </w:rPr>
              <w:t>Adequate power calculation</w:t>
            </w:r>
          </w:p>
        </w:tc>
        <w:tc>
          <w:tcPr>
            <w:tcW w:type="dxa" w:w="2448"/>
            <w:shd w:fill="F2F4F7"/>
            <w:tcMar>
              <w:top w:w="100" w:type="dxa"/>
              <w:bottom w:w="100" w:type="dxa"/>
              <w:left w:w="150" w:type="dxa"/>
              <w:right w:w="150" w:type="dxa"/>
            </w:tcMar>
            <w:vAlign w:val="center"/>
          </w:tcPr>
          <w:p>
            <w:r>
              <w:rPr>
                <w:rFonts w:ascii="Times New Roman" w:hAnsi="Times New Roman"/>
                <w:color w:val="333333"/>
                <w:sz w:val="19"/>
              </w:rPr>
              <w:t>Adequate for primary but limited for rare ADRs (Rule of Three)</w:t>
            </w:r>
          </w:p>
        </w:tc>
      </w:tr>
      <w:tr>
        <w:tc>
          <w:tcPr>
            <w:tcW w:type="dxa" w:w="1872"/>
            <w:shd w:fill="FFFFFF"/>
            <w:tcMar>
              <w:top w:w="100" w:type="dxa"/>
              <w:bottom w:w="100" w:type="dxa"/>
              <w:left w:w="150" w:type="dxa"/>
              <w:right w:w="150" w:type="dxa"/>
            </w:tcMar>
            <w:vAlign w:val="center"/>
          </w:tcPr>
          <w:p>
            <w:r>
              <w:rPr>
                <w:rFonts w:ascii="Times New Roman" w:hAnsi="Times New Roman"/>
                <w:color w:val="333333"/>
                <w:sz w:val="19"/>
              </w:rPr>
              <w:t>Sample Selection</w:t>
            </w:r>
          </w:p>
        </w:tc>
        <w:tc>
          <w:tcPr>
            <w:tcW w:type="dxa" w:w="2592"/>
            <w:shd w:fill="FFFFFF"/>
            <w:tcMar>
              <w:top w:w="100" w:type="dxa"/>
              <w:bottom w:w="100" w:type="dxa"/>
              <w:left w:w="150" w:type="dxa"/>
              <w:right w:w="150" w:type="dxa"/>
            </w:tcMar>
            <w:vAlign w:val="center"/>
          </w:tcPr>
          <w:p>
            <w:r>
              <w:rPr>
                <w:rFonts w:ascii="Times New Roman" w:hAnsi="Times New Roman"/>
                <w:color w:val="333333"/>
                <w:sz w:val="19"/>
              </w:rPr>
              <w:t>BMI&gt;=30 or &gt;=27 with comorbidity, no diabetes</w:t>
            </w:r>
          </w:p>
        </w:tc>
        <w:tc>
          <w:tcPr>
            <w:tcW w:type="dxa" w:w="2448"/>
            <w:shd w:fill="FFFFFF"/>
            <w:tcMar>
              <w:top w:w="100" w:type="dxa"/>
              <w:bottom w:w="100" w:type="dxa"/>
              <w:left w:w="150" w:type="dxa"/>
              <w:right w:w="150" w:type="dxa"/>
            </w:tcMar>
            <w:vAlign w:val="center"/>
          </w:tcPr>
          <w:p>
            <w:r>
              <w:rPr>
                <w:rFonts w:ascii="Times New Roman" w:hAnsi="Times New Roman"/>
                <w:color w:val="333333"/>
                <w:sz w:val="19"/>
              </w:rPr>
              <w:t>Representative</w:t>
            </w:r>
          </w:p>
        </w:tc>
        <w:tc>
          <w:tcPr>
            <w:tcW w:type="dxa" w:w="2448"/>
            <w:shd w:fill="FFFFFF"/>
            <w:tcMar>
              <w:top w:w="100" w:type="dxa"/>
              <w:bottom w:w="100" w:type="dxa"/>
              <w:left w:w="150" w:type="dxa"/>
              <w:right w:w="150" w:type="dxa"/>
            </w:tcMar>
            <w:vAlign w:val="center"/>
          </w:tcPr>
          <w:p>
            <w:r>
              <w:rPr>
                <w:rFonts w:ascii="Times New Roman" w:hAnsi="Times New Roman"/>
                <w:color w:val="333333"/>
                <w:sz w:val="19"/>
              </w:rPr>
              <w:t>Excludes diabetes and psychiatric conditions</w:t>
            </w:r>
          </w:p>
        </w:tc>
      </w:tr>
      <w:tr>
        <w:tc>
          <w:tcPr>
            <w:tcW w:type="dxa" w:w="1872"/>
            <w:shd w:fill="F2F4F7"/>
            <w:tcMar>
              <w:top w:w="100" w:type="dxa"/>
              <w:bottom w:w="100" w:type="dxa"/>
              <w:left w:w="150" w:type="dxa"/>
              <w:right w:w="150" w:type="dxa"/>
            </w:tcMar>
            <w:vAlign w:val="center"/>
          </w:tcPr>
          <w:p>
            <w:r>
              <w:rPr>
                <w:rFonts w:ascii="Times New Roman" w:hAnsi="Times New Roman"/>
                <w:color w:val="333333"/>
                <w:sz w:val="19"/>
              </w:rPr>
              <w:t>Controls</w:t>
            </w:r>
          </w:p>
        </w:tc>
        <w:tc>
          <w:tcPr>
            <w:tcW w:type="dxa" w:w="2592"/>
            <w:shd w:fill="F2F4F7"/>
            <w:tcMar>
              <w:top w:w="100" w:type="dxa"/>
              <w:bottom w:w="100" w:type="dxa"/>
              <w:left w:w="150" w:type="dxa"/>
              <w:right w:w="150" w:type="dxa"/>
            </w:tcMar>
            <w:vAlign w:val="center"/>
          </w:tcPr>
          <w:p>
            <w:r>
              <w:rPr>
                <w:rFonts w:ascii="Times New Roman" w:hAnsi="Times New Roman"/>
                <w:color w:val="333333"/>
                <w:sz w:val="19"/>
              </w:rPr>
              <w:t>Placebo + lifestyle intervention</w:t>
            </w:r>
          </w:p>
        </w:tc>
        <w:tc>
          <w:tcPr>
            <w:tcW w:type="dxa" w:w="2448"/>
            <w:shd w:fill="F2F4F7"/>
            <w:tcMar>
              <w:top w:w="100" w:type="dxa"/>
              <w:bottom w:w="100" w:type="dxa"/>
              <w:left w:w="150" w:type="dxa"/>
              <w:right w:w="150" w:type="dxa"/>
            </w:tcMar>
            <w:vAlign w:val="center"/>
          </w:tcPr>
          <w:p>
            <w:r>
              <w:rPr>
                <w:rFonts w:ascii="Times New Roman" w:hAnsi="Times New Roman"/>
                <w:color w:val="333333"/>
                <w:sz w:val="19"/>
              </w:rPr>
              <w:t>Appropriate comparator</w:t>
            </w:r>
          </w:p>
        </w:tc>
        <w:tc>
          <w:tcPr>
            <w:tcW w:type="dxa" w:w="2448"/>
            <w:shd w:fill="F2F4F7"/>
            <w:tcMar>
              <w:top w:w="100" w:type="dxa"/>
              <w:bottom w:w="100" w:type="dxa"/>
              <w:left w:w="150" w:type="dxa"/>
              <w:right w:w="150" w:type="dxa"/>
            </w:tcMar>
            <w:vAlign w:val="center"/>
          </w:tcPr>
          <w:p>
            <w:r>
              <w:rPr>
                <w:rFonts w:ascii="Times New Roman" w:hAnsi="Times New Roman"/>
                <w:color w:val="333333"/>
                <w:sz w:val="19"/>
              </w:rPr>
              <w:t>No active comparator limits safety comparison</w:t>
            </w:r>
          </w:p>
        </w:tc>
      </w:tr>
      <w:tr>
        <w:tc>
          <w:tcPr>
            <w:tcW w:type="dxa" w:w="1872"/>
            <w:shd w:fill="FFFFFF"/>
            <w:tcMar>
              <w:top w:w="100" w:type="dxa"/>
              <w:bottom w:w="100" w:type="dxa"/>
              <w:left w:w="150" w:type="dxa"/>
              <w:right w:w="150" w:type="dxa"/>
            </w:tcMar>
            <w:vAlign w:val="center"/>
          </w:tcPr>
          <w:p>
            <w:r>
              <w:rPr>
                <w:rFonts w:ascii="Times New Roman" w:hAnsi="Times New Roman"/>
                <w:color w:val="333333"/>
                <w:sz w:val="19"/>
              </w:rPr>
              <w:t>Randomization</w:t>
            </w:r>
          </w:p>
        </w:tc>
        <w:tc>
          <w:tcPr>
            <w:tcW w:type="dxa" w:w="2592"/>
            <w:shd w:fill="FFFFFF"/>
            <w:tcMar>
              <w:top w:w="100" w:type="dxa"/>
              <w:bottom w:w="100" w:type="dxa"/>
              <w:left w:w="150" w:type="dxa"/>
              <w:right w:w="150" w:type="dxa"/>
            </w:tcMar>
            <w:vAlign w:val="center"/>
          </w:tcPr>
          <w:p>
            <w:r>
              <w:rPr>
                <w:rFonts w:ascii="Times New Roman" w:hAnsi="Times New Roman"/>
                <w:color w:val="333333"/>
                <w:sz w:val="19"/>
              </w:rPr>
              <w:t>2:1 IWRS stratified</w:t>
            </w:r>
          </w:p>
        </w:tc>
        <w:tc>
          <w:tcPr>
            <w:tcW w:type="dxa" w:w="2448"/>
            <w:shd w:fill="FFFFFF"/>
            <w:tcMar>
              <w:top w:w="100" w:type="dxa"/>
              <w:bottom w:w="100" w:type="dxa"/>
              <w:left w:w="150" w:type="dxa"/>
              <w:right w:w="150" w:type="dxa"/>
            </w:tcMar>
            <w:vAlign w:val="center"/>
          </w:tcPr>
          <w:p>
            <w:r>
              <w:rPr>
                <w:rFonts w:ascii="Times New Roman" w:hAnsi="Times New Roman"/>
                <w:color w:val="333333"/>
                <w:sz w:val="19"/>
              </w:rPr>
              <w:t>Adequate concealment</w:t>
            </w:r>
          </w:p>
        </w:tc>
        <w:tc>
          <w:tcPr>
            <w:tcW w:type="dxa" w:w="2448"/>
            <w:shd w:fill="FFFFFF"/>
            <w:tcMar>
              <w:top w:w="100" w:type="dxa"/>
              <w:bottom w:w="100" w:type="dxa"/>
              <w:left w:w="150" w:type="dxa"/>
              <w:right w:w="150" w:type="dxa"/>
            </w:tcMar>
            <w:vAlign w:val="center"/>
          </w:tcPr>
          <w:p>
            <w:r>
              <w:rPr>
                <w:rFonts w:ascii="Times New Roman" w:hAnsi="Times New Roman"/>
                <w:color w:val="333333"/>
                <w:sz w:val="19"/>
              </w:rPr>
              <w:t>Meets standard</w:t>
            </w:r>
          </w:p>
        </w:tc>
      </w:tr>
      <w:tr>
        <w:tc>
          <w:tcPr>
            <w:tcW w:type="dxa" w:w="1872"/>
            <w:shd w:fill="F2F4F7"/>
            <w:tcMar>
              <w:top w:w="100" w:type="dxa"/>
              <w:bottom w:w="100" w:type="dxa"/>
              <w:left w:w="150" w:type="dxa"/>
              <w:right w:w="150" w:type="dxa"/>
            </w:tcMar>
            <w:vAlign w:val="center"/>
          </w:tcPr>
          <w:p>
            <w:r>
              <w:rPr>
                <w:rFonts w:ascii="Times New Roman" w:hAnsi="Times New Roman"/>
                <w:color w:val="333333"/>
                <w:sz w:val="19"/>
              </w:rPr>
              <w:t>Blinding</w:t>
            </w:r>
          </w:p>
        </w:tc>
        <w:tc>
          <w:tcPr>
            <w:tcW w:type="dxa" w:w="2592"/>
            <w:shd w:fill="F2F4F7"/>
            <w:tcMar>
              <w:top w:w="100" w:type="dxa"/>
              <w:bottom w:w="100" w:type="dxa"/>
              <w:left w:w="150" w:type="dxa"/>
              <w:right w:w="150" w:type="dxa"/>
            </w:tcMar>
            <w:vAlign w:val="center"/>
          </w:tcPr>
          <w:p>
            <w:r>
              <w:rPr>
                <w:rFonts w:ascii="Times New Roman" w:hAnsi="Times New Roman"/>
                <w:color w:val="333333"/>
                <w:sz w:val="19"/>
              </w:rPr>
              <w:t>Double-blind matching placebo</w:t>
            </w:r>
          </w:p>
        </w:tc>
        <w:tc>
          <w:tcPr>
            <w:tcW w:type="dxa" w:w="2448"/>
            <w:shd w:fill="F2F4F7"/>
            <w:tcMar>
              <w:top w:w="100" w:type="dxa"/>
              <w:bottom w:w="100" w:type="dxa"/>
              <w:left w:w="150" w:type="dxa"/>
              <w:right w:w="150" w:type="dxa"/>
            </w:tcMar>
            <w:vAlign w:val="center"/>
          </w:tcPr>
          <w:p>
            <w:r>
              <w:rPr>
                <w:rFonts w:ascii="Times New Roman" w:hAnsi="Times New Roman"/>
                <w:color w:val="333333"/>
                <w:sz w:val="19"/>
              </w:rPr>
              <w:t>Adequate masking</w:t>
            </w:r>
          </w:p>
        </w:tc>
        <w:tc>
          <w:tcPr>
            <w:tcW w:type="dxa" w:w="2448"/>
            <w:shd w:fill="F2F4F7"/>
            <w:tcMar>
              <w:top w:w="100" w:type="dxa"/>
              <w:bottom w:w="100" w:type="dxa"/>
              <w:left w:w="150" w:type="dxa"/>
              <w:right w:w="150" w:type="dxa"/>
            </w:tcMar>
            <w:vAlign w:val="center"/>
          </w:tcPr>
          <w:p>
            <w:r>
              <w:rPr>
                <w:rFonts w:ascii="Times New Roman" w:hAnsi="Times New Roman"/>
                <w:color w:val="333333"/>
                <w:sz w:val="19"/>
              </w:rPr>
              <w:t>Risk of functional unblinding via GI side effects</w:t>
            </w:r>
          </w:p>
        </w:tc>
      </w:tr>
      <w:tr>
        <w:tc>
          <w:tcPr>
            <w:tcW w:type="dxa" w:w="1872"/>
            <w:shd w:fill="FFFFFF"/>
            <w:tcMar>
              <w:top w:w="100" w:type="dxa"/>
              <w:bottom w:w="100" w:type="dxa"/>
              <w:left w:w="150" w:type="dxa"/>
              <w:right w:w="150" w:type="dxa"/>
            </w:tcMar>
            <w:vAlign w:val="center"/>
          </w:tcPr>
          <w:p>
            <w:r>
              <w:rPr>
                <w:rFonts w:ascii="Times New Roman" w:hAnsi="Times New Roman"/>
                <w:color w:val="333333"/>
                <w:sz w:val="19"/>
              </w:rPr>
              <w:t>Variables</w:t>
            </w:r>
          </w:p>
        </w:tc>
        <w:tc>
          <w:tcPr>
            <w:tcW w:type="dxa" w:w="2592"/>
            <w:shd w:fill="FFFFFF"/>
            <w:tcMar>
              <w:top w:w="100" w:type="dxa"/>
              <w:bottom w:w="100" w:type="dxa"/>
              <w:left w:w="150" w:type="dxa"/>
              <w:right w:w="150" w:type="dxa"/>
            </w:tcMar>
            <w:vAlign w:val="center"/>
          </w:tcPr>
          <w:p>
            <w:r>
              <w:rPr>
                <w:rFonts w:ascii="Times New Roman" w:hAnsi="Times New Roman"/>
                <w:color w:val="333333"/>
                <w:sz w:val="19"/>
              </w:rPr>
              <w:t>Body weight %, &gt;=5% threshold</w:t>
            </w:r>
          </w:p>
        </w:tc>
        <w:tc>
          <w:tcPr>
            <w:tcW w:type="dxa" w:w="2448"/>
            <w:shd w:fill="FFFFFF"/>
            <w:tcMar>
              <w:top w:w="100" w:type="dxa"/>
              <w:bottom w:w="100" w:type="dxa"/>
              <w:left w:w="150" w:type="dxa"/>
              <w:right w:w="150" w:type="dxa"/>
            </w:tcMar>
            <w:vAlign w:val="center"/>
          </w:tcPr>
          <w:p>
            <w:r>
              <w:rPr>
                <w:rFonts w:ascii="Times New Roman" w:hAnsi="Times New Roman"/>
                <w:color w:val="333333"/>
                <w:sz w:val="19"/>
              </w:rPr>
              <w:t>Clearly operationalized</w:t>
            </w:r>
          </w:p>
        </w:tc>
        <w:tc>
          <w:tcPr>
            <w:tcW w:type="dxa" w:w="2448"/>
            <w:shd w:fill="FFFFFF"/>
            <w:tcMar>
              <w:top w:w="100" w:type="dxa"/>
              <w:bottom w:w="100" w:type="dxa"/>
              <w:left w:w="150" w:type="dxa"/>
              <w:right w:w="150" w:type="dxa"/>
            </w:tcMar>
            <w:vAlign w:val="center"/>
          </w:tcPr>
          <w:p>
            <w:r>
              <w:rPr>
                <w:rFonts w:ascii="Times New Roman" w:hAnsi="Times New Roman"/>
                <w:color w:val="333333"/>
                <w:sz w:val="19"/>
              </w:rPr>
              <w:t>Well-defined but psychiatric outcomes not primary</w:t>
            </w:r>
          </w:p>
        </w:tc>
      </w:tr>
      <w:tr>
        <w:tc>
          <w:tcPr>
            <w:tcW w:type="dxa" w:w="1872"/>
            <w:shd w:fill="F2F4F7"/>
            <w:tcMar>
              <w:top w:w="100" w:type="dxa"/>
              <w:bottom w:w="100" w:type="dxa"/>
              <w:left w:w="150" w:type="dxa"/>
              <w:right w:w="150" w:type="dxa"/>
            </w:tcMar>
            <w:vAlign w:val="center"/>
          </w:tcPr>
          <w:p>
            <w:r>
              <w:rPr>
                <w:rFonts w:ascii="Times New Roman" w:hAnsi="Times New Roman"/>
                <w:color w:val="333333"/>
                <w:sz w:val="19"/>
              </w:rPr>
              <w:t>Measurements</w:t>
            </w:r>
          </w:p>
        </w:tc>
        <w:tc>
          <w:tcPr>
            <w:tcW w:type="dxa" w:w="2592"/>
            <w:shd w:fill="F2F4F7"/>
            <w:tcMar>
              <w:top w:w="100" w:type="dxa"/>
              <w:bottom w:w="100" w:type="dxa"/>
              <w:left w:w="150" w:type="dxa"/>
              <w:right w:w="150" w:type="dxa"/>
            </w:tcMar>
            <w:vAlign w:val="center"/>
          </w:tcPr>
          <w:p>
            <w:r>
              <w:rPr>
                <w:rFonts w:ascii="Times New Roman" w:hAnsi="Times New Roman"/>
                <w:color w:val="333333"/>
                <w:sz w:val="19"/>
              </w:rPr>
              <w:t>Body weight, waist circumference, biomarkers</w:t>
            </w:r>
          </w:p>
        </w:tc>
        <w:tc>
          <w:tcPr>
            <w:tcW w:type="dxa" w:w="2448"/>
            <w:shd w:fill="F2F4F7"/>
            <w:tcMar>
              <w:top w:w="100" w:type="dxa"/>
              <w:bottom w:w="100" w:type="dxa"/>
              <w:left w:w="150" w:type="dxa"/>
              <w:right w:w="150" w:type="dxa"/>
            </w:tcMar>
            <w:vAlign w:val="center"/>
          </w:tcPr>
          <w:p>
            <w:r>
              <w:rPr>
                <w:rFonts w:ascii="Times New Roman" w:hAnsi="Times New Roman"/>
                <w:color w:val="333333"/>
                <w:sz w:val="19"/>
              </w:rPr>
              <w:t>Validated reliable instruments</w:t>
            </w:r>
          </w:p>
        </w:tc>
        <w:tc>
          <w:tcPr>
            <w:tcW w:type="dxa" w:w="2448"/>
            <w:shd w:fill="F2F4F7"/>
            <w:tcMar>
              <w:top w:w="100" w:type="dxa"/>
              <w:bottom w:w="100" w:type="dxa"/>
              <w:left w:w="150" w:type="dxa"/>
              <w:right w:w="150" w:type="dxa"/>
            </w:tcMar>
            <w:vAlign w:val="center"/>
          </w:tcPr>
          <w:p>
            <w:r>
              <w:rPr>
                <w:rFonts w:ascii="Times New Roman" w:hAnsi="Times New Roman"/>
                <w:color w:val="333333"/>
                <w:sz w:val="19"/>
              </w:rPr>
              <w:t>Objective measures but psychiatric assessment tools not used</w:t>
            </w:r>
          </w:p>
        </w:tc>
      </w:tr>
      <w:tr>
        <w:tc>
          <w:tcPr>
            <w:tcW w:type="dxa" w:w="1872"/>
            <w:shd w:fill="FFFFFF"/>
            <w:tcMar>
              <w:top w:w="100" w:type="dxa"/>
              <w:bottom w:w="100" w:type="dxa"/>
              <w:left w:w="150" w:type="dxa"/>
              <w:right w:w="150" w:type="dxa"/>
            </w:tcMar>
            <w:vAlign w:val="center"/>
          </w:tcPr>
          <w:p>
            <w:r>
              <w:rPr>
                <w:rFonts w:ascii="Times New Roman" w:hAnsi="Times New Roman"/>
                <w:color w:val="333333"/>
                <w:sz w:val="19"/>
              </w:rPr>
              <w:t>Data Collection</w:t>
            </w:r>
          </w:p>
        </w:tc>
        <w:tc>
          <w:tcPr>
            <w:tcW w:type="dxa" w:w="2592"/>
            <w:shd w:fill="FFFFFF"/>
            <w:tcMar>
              <w:top w:w="100" w:type="dxa"/>
              <w:bottom w:w="100" w:type="dxa"/>
              <w:left w:w="150" w:type="dxa"/>
              <w:right w:w="150" w:type="dxa"/>
            </w:tcMar>
            <w:vAlign w:val="center"/>
          </w:tcPr>
          <w:p>
            <w:r>
              <w:rPr>
                <w:rFonts w:ascii="Times New Roman" w:hAnsi="Times New Roman"/>
                <w:color w:val="333333"/>
                <w:sz w:val="19"/>
              </w:rPr>
              <w:t>eCRF, 68 weeks, regular visits</w:t>
            </w:r>
          </w:p>
        </w:tc>
        <w:tc>
          <w:tcPr>
            <w:tcW w:type="dxa" w:w="2448"/>
            <w:shd w:fill="FFFFFF"/>
            <w:tcMar>
              <w:top w:w="100" w:type="dxa"/>
              <w:bottom w:w="100" w:type="dxa"/>
              <w:left w:w="150" w:type="dxa"/>
              <w:right w:w="150" w:type="dxa"/>
            </w:tcMar>
            <w:vAlign w:val="center"/>
          </w:tcPr>
          <w:p>
            <w:r>
              <w:rPr>
                <w:rFonts w:ascii="Times New Roman" w:hAnsi="Times New Roman"/>
                <w:color w:val="333333"/>
                <w:sz w:val="19"/>
              </w:rPr>
              <w:t>Standardized protocol</w:t>
            </w:r>
          </w:p>
        </w:tc>
        <w:tc>
          <w:tcPr>
            <w:tcW w:type="dxa" w:w="2448"/>
            <w:shd w:fill="FFFFFF"/>
            <w:tcMar>
              <w:top w:w="100" w:type="dxa"/>
              <w:bottom w:w="100" w:type="dxa"/>
              <w:left w:w="150" w:type="dxa"/>
              <w:right w:w="150" w:type="dxa"/>
            </w:tcMar>
            <w:vAlign w:val="center"/>
          </w:tcPr>
          <w:p>
            <w:r>
              <w:rPr>
                <w:rFonts w:ascii="Times New Roman" w:hAnsi="Times New Roman"/>
                <w:color w:val="333333"/>
                <w:sz w:val="19"/>
              </w:rPr>
              <w:t>Comprehensive but short for chronic therapy</w:t>
            </w:r>
          </w:p>
        </w:tc>
      </w:tr>
      <w:tr>
        <w:tc>
          <w:tcPr>
            <w:tcW w:type="dxa" w:w="1872"/>
            <w:shd w:fill="F2F4F7"/>
            <w:tcMar>
              <w:top w:w="100" w:type="dxa"/>
              <w:bottom w:w="100" w:type="dxa"/>
              <w:left w:w="150" w:type="dxa"/>
              <w:right w:w="150" w:type="dxa"/>
            </w:tcMar>
            <w:vAlign w:val="center"/>
          </w:tcPr>
          <w:p>
            <w:r>
              <w:rPr>
                <w:rFonts w:ascii="Times New Roman" w:hAnsi="Times New Roman"/>
                <w:color w:val="333333"/>
                <w:sz w:val="19"/>
              </w:rPr>
              <w:t>Statistical Analysis</w:t>
            </w:r>
          </w:p>
        </w:tc>
        <w:tc>
          <w:tcPr>
            <w:tcW w:type="dxa" w:w="2592"/>
            <w:shd w:fill="F2F4F7"/>
            <w:tcMar>
              <w:top w:w="100" w:type="dxa"/>
              <w:bottom w:w="100" w:type="dxa"/>
              <w:left w:w="150" w:type="dxa"/>
              <w:right w:w="150" w:type="dxa"/>
            </w:tcMar>
            <w:vAlign w:val="center"/>
          </w:tcPr>
          <w:p>
            <w:r>
              <w:rPr>
                <w:rFonts w:ascii="Times New Roman" w:hAnsi="Times New Roman"/>
                <w:color w:val="333333"/>
                <w:sz w:val="19"/>
              </w:rPr>
              <w:t>MMRM, pattern-mixture MI, dual estimands</w:t>
            </w:r>
          </w:p>
        </w:tc>
        <w:tc>
          <w:tcPr>
            <w:tcW w:type="dxa" w:w="2448"/>
            <w:shd w:fill="F2F4F7"/>
            <w:tcMar>
              <w:top w:w="100" w:type="dxa"/>
              <w:bottom w:w="100" w:type="dxa"/>
              <w:left w:w="150" w:type="dxa"/>
              <w:right w:w="150" w:type="dxa"/>
            </w:tcMar>
            <w:vAlign w:val="center"/>
          </w:tcPr>
          <w:p>
            <w:r>
              <w:rPr>
                <w:rFonts w:ascii="Times New Roman" w:hAnsi="Times New Roman"/>
                <w:color w:val="333333"/>
                <w:sz w:val="19"/>
              </w:rPr>
              <w:t>Pre-specified SAP</w:t>
            </w:r>
          </w:p>
        </w:tc>
        <w:tc>
          <w:tcPr>
            <w:tcW w:type="dxa" w:w="2448"/>
            <w:shd w:fill="F2F4F7"/>
            <w:tcMar>
              <w:top w:w="100" w:type="dxa"/>
              <w:bottom w:w="100" w:type="dxa"/>
              <w:left w:w="150" w:type="dxa"/>
              <w:right w:w="150" w:type="dxa"/>
            </w:tcMar>
            <w:vAlign w:val="center"/>
          </w:tcPr>
          <w:p>
            <w:r>
              <w:rPr>
                <w:rFonts w:ascii="Times New Roman" w:hAnsi="Times New Roman"/>
                <w:color w:val="333333"/>
                <w:sz w:val="19"/>
              </w:rPr>
              <w:t>Sophisticated, appropriate, CONSORT-compliant</w:t>
            </w:r>
          </w:p>
        </w:tc>
      </w:tr>
      <w:tr>
        <w:tc>
          <w:tcPr>
            <w:tcW w:type="dxa" w:w="1872"/>
            <w:shd w:fill="FFFFFF"/>
            <w:tcMar>
              <w:top w:w="100" w:type="dxa"/>
              <w:bottom w:w="100" w:type="dxa"/>
              <w:left w:w="150" w:type="dxa"/>
              <w:right w:w="150" w:type="dxa"/>
            </w:tcMar>
            <w:vAlign w:val="center"/>
          </w:tcPr>
          <w:p>
            <w:r>
              <w:rPr>
                <w:rFonts w:ascii="Times New Roman" w:hAnsi="Times New Roman"/>
                <w:color w:val="333333"/>
                <w:sz w:val="19"/>
              </w:rPr>
              <w:t>Reproducibility</w:t>
            </w:r>
          </w:p>
        </w:tc>
        <w:tc>
          <w:tcPr>
            <w:tcW w:type="dxa" w:w="2592"/>
            <w:shd w:fill="FFFFFF"/>
            <w:tcMar>
              <w:top w:w="100" w:type="dxa"/>
              <w:bottom w:w="100" w:type="dxa"/>
              <w:left w:w="150" w:type="dxa"/>
              <w:right w:w="150" w:type="dxa"/>
            </w:tcMar>
            <w:vAlign w:val="center"/>
          </w:tcPr>
          <w:p>
            <w:r>
              <w:rPr>
                <w:rFonts w:ascii="Times New Roman" w:hAnsi="Times New Roman"/>
                <w:color w:val="333333"/>
                <w:sz w:val="19"/>
              </w:rPr>
              <w:t>NCT03548935 registered, protocol available</w:t>
            </w:r>
          </w:p>
        </w:tc>
        <w:tc>
          <w:tcPr>
            <w:tcW w:type="dxa" w:w="2448"/>
            <w:shd w:fill="FFFFFF"/>
            <w:tcMar>
              <w:top w:w="100" w:type="dxa"/>
              <w:bottom w:w="100" w:type="dxa"/>
              <w:left w:w="150" w:type="dxa"/>
              <w:right w:w="150" w:type="dxa"/>
            </w:tcMar>
            <w:vAlign w:val="center"/>
          </w:tcPr>
          <w:p>
            <w:r>
              <w:rPr>
                <w:rFonts w:ascii="Times New Roman" w:hAnsi="Times New Roman"/>
                <w:color w:val="333333"/>
                <w:sz w:val="19"/>
              </w:rPr>
              <w:t>Pre-registration + data sharing</w:t>
            </w:r>
          </w:p>
        </w:tc>
        <w:tc>
          <w:tcPr>
            <w:tcW w:type="dxa" w:w="2448"/>
            <w:shd w:fill="FFFFFF"/>
            <w:tcMar>
              <w:top w:w="100" w:type="dxa"/>
              <w:bottom w:w="100" w:type="dxa"/>
              <w:left w:w="150" w:type="dxa"/>
              <w:right w:w="150" w:type="dxa"/>
            </w:tcMar>
            <w:vAlign w:val="center"/>
          </w:tcPr>
          <w:p>
            <w:r>
              <w:rPr>
                <w:rFonts w:ascii="Times New Roman" w:hAnsi="Times New Roman"/>
                <w:color w:val="333333"/>
                <w:sz w:val="19"/>
              </w:rPr>
              <w:t>Protocol available but individual data not public</w:t>
            </w:r>
          </w:p>
        </w:tc>
      </w:tr>
      <w:tr>
        <w:tc>
          <w:tcPr>
            <w:tcW w:type="dxa" w:w="1872"/>
            <w:shd w:fill="F2F4F7"/>
            <w:tcMar>
              <w:top w:w="100" w:type="dxa"/>
              <w:bottom w:w="100" w:type="dxa"/>
              <w:left w:w="150" w:type="dxa"/>
              <w:right w:w="150" w:type="dxa"/>
            </w:tcMar>
            <w:vAlign w:val="center"/>
          </w:tcPr>
          <w:p>
            <w:r>
              <w:rPr>
                <w:rFonts w:ascii="Times New Roman" w:hAnsi="Times New Roman"/>
                <w:color w:val="333333"/>
                <w:sz w:val="19"/>
              </w:rPr>
              <w:t>Ethical Considerations</w:t>
            </w:r>
          </w:p>
        </w:tc>
        <w:tc>
          <w:tcPr>
            <w:tcW w:type="dxa" w:w="2592"/>
            <w:shd w:fill="F2F4F7"/>
            <w:tcMar>
              <w:top w:w="100" w:type="dxa"/>
              <w:bottom w:w="100" w:type="dxa"/>
              <w:left w:w="150" w:type="dxa"/>
              <w:right w:w="150" w:type="dxa"/>
            </w:tcMar>
            <w:vAlign w:val="center"/>
          </w:tcPr>
          <w:p>
            <w:r>
              <w:rPr>
                <w:rFonts w:ascii="Times New Roman" w:hAnsi="Times New Roman"/>
                <w:color w:val="333333"/>
                <w:sz w:val="19"/>
              </w:rPr>
              <w:t>IRB/IEC approval, informed consent, DSMB</w:t>
            </w:r>
          </w:p>
        </w:tc>
        <w:tc>
          <w:tcPr>
            <w:tcW w:type="dxa" w:w="2448"/>
            <w:shd w:fill="F2F4F7"/>
            <w:tcMar>
              <w:top w:w="100" w:type="dxa"/>
              <w:bottom w:w="100" w:type="dxa"/>
              <w:left w:w="150" w:type="dxa"/>
              <w:right w:w="150" w:type="dxa"/>
            </w:tcMar>
            <w:vAlign w:val="center"/>
          </w:tcPr>
          <w:p>
            <w:r>
              <w:rPr>
                <w:rFonts w:ascii="Times New Roman" w:hAnsi="Times New Roman"/>
                <w:color w:val="333333"/>
                <w:sz w:val="19"/>
              </w:rPr>
              <w:t>Full ethical compliance</w:t>
            </w:r>
          </w:p>
        </w:tc>
        <w:tc>
          <w:tcPr>
            <w:tcW w:type="dxa" w:w="2448"/>
            <w:shd w:fill="F2F4F7"/>
            <w:tcMar>
              <w:top w:w="100" w:type="dxa"/>
              <w:bottom w:w="100" w:type="dxa"/>
              <w:left w:w="150" w:type="dxa"/>
              <w:right w:w="150" w:type="dxa"/>
            </w:tcMar>
            <w:vAlign w:val="center"/>
          </w:tcPr>
          <w:p>
            <w:r>
              <w:rPr>
                <w:rFonts w:ascii="Times New Roman" w:hAnsi="Times New Roman"/>
                <w:color w:val="333333"/>
                <w:sz w:val="19"/>
              </w:rPr>
              <w:t>Meets standard; industry sponsorship disclosed</w:t>
            </w:r>
          </w:p>
        </w:tc>
      </w:tr>
      <w:tr>
        <w:tc>
          <w:tcPr>
            <w:tcW w:type="dxa" w:w="1872"/>
            <w:shd w:fill="FFFFFF"/>
            <w:tcMar>
              <w:top w:w="100" w:type="dxa"/>
              <w:bottom w:w="100" w:type="dxa"/>
              <w:left w:w="150" w:type="dxa"/>
              <w:right w:w="150" w:type="dxa"/>
            </w:tcMar>
            <w:vAlign w:val="center"/>
          </w:tcPr>
          <w:p>
            <w:r>
              <w:rPr>
                <w:rFonts w:ascii="Times New Roman" w:hAnsi="Times New Roman"/>
                <w:color w:val="333333"/>
                <w:sz w:val="19"/>
              </w:rPr>
              <w:t>Reporting Transparency</w:t>
            </w:r>
          </w:p>
        </w:tc>
        <w:tc>
          <w:tcPr>
            <w:tcW w:type="dxa" w:w="2592"/>
            <w:shd w:fill="FFFFFF"/>
            <w:tcMar>
              <w:top w:w="100" w:type="dxa"/>
              <w:bottom w:w="100" w:type="dxa"/>
              <w:left w:w="150" w:type="dxa"/>
              <w:right w:w="150" w:type="dxa"/>
            </w:tcMar>
            <w:vAlign w:val="center"/>
          </w:tcPr>
          <w:p>
            <w:r>
              <w:rPr>
                <w:rFonts w:ascii="Times New Roman" w:hAnsi="Times New Roman"/>
                <w:color w:val="333333"/>
                <w:sz w:val="19"/>
              </w:rPr>
              <w:t>CONSORT, NEJM standards</w:t>
            </w:r>
          </w:p>
        </w:tc>
        <w:tc>
          <w:tcPr>
            <w:tcW w:type="dxa" w:w="2448"/>
            <w:shd w:fill="FFFFFF"/>
            <w:tcMar>
              <w:top w:w="100" w:type="dxa"/>
              <w:bottom w:w="100" w:type="dxa"/>
              <w:left w:w="150" w:type="dxa"/>
              <w:right w:w="150" w:type="dxa"/>
            </w:tcMar>
            <w:vAlign w:val="center"/>
          </w:tcPr>
          <w:p>
            <w:r>
              <w:rPr>
                <w:rFonts w:ascii="Times New Roman" w:hAnsi="Times New Roman"/>
                <w:color w:val="333333"/>
                <w:sz w:val="19"/>
              </w:rPr>
              <w:t>Complete transparent reporting</w:t>
            </w:r>
          </w:p>
        </w:tc>
        <w:tc>
          <w:tcPr>
            <w:tcW w:type="dxa" w:w="2448"/>
            <w:shd w:fill="FFFFFF"/>
            <w:tcMar>
              <w:top w:w="100" w:type="dxa"/>
              <w:bottom w:w="100" w:type="dxa"/>
              <w:left w:w="150" w:type="dxa"/>
              <w:right w:w="150" w:type="dxa"/>
            </w:tcMar>
            <w:vAlign w:val="center"/>
          </w:tcPr>
          <w:p>
            <w:r>
              <w:rPr>
                <w:rFonts w:ascii="Times New Roman" w:hAnsi="Times New Roman"/>
                <w:color w:val="333333"/>
                <w:sz w:val="19"/>
              </w:rPr>
              <w:t>High quality reporting but psychiatric AE details limited</w:t>
            </w:r>
          </w:p>
        </w:tc>
      </w:tr>
    </w:tbl>
    <w:p/>
    <w:p>
      <w:pPr>
        <w:keepNext/>
        <w:spacing w:before="360" w:after="120"/>
      </w:pPr>
      <w:r>
        <w:rPr>
          <w:rFonts w:ascii="Times New Roman" w:hAnsi="Times New Roman"/>
          <w:b/>
          <w:color w:val="1F497D"/>
          <w:sz w:val="32"/>
        </w:rPr>
        <w:t>5. Critical Analysis of Methodological Strengths</w:t>
      </w:r>
    </w:p>
    <w:p>
      <w:r>
        <w:t>The STEP 1 trial exhibited exceptional execution across multiple core clinical trial domains:</w:t>
        <w:br/>
        <w:t>1. Randomization and Masking: Centralized interactive Web-response systems ensured 2:1 allocation concealing sequence from investigators. Semaglutide and placebo pens were visually identical, preserving double-blind integrity.</w:t>
        <w:br/>
        <w:t>2. Estimand Precision: In accordance with ICH E9 (R1) guidelines, the authors pre-specified two distinct estimands: the 'trial product estimand' (evaluating on-treatment efficacy under full adherence) and the 'treatment policy estimand' (evaluating Intention-to-Treat irrespective of adherence or rescue therapy), providing complete statistical transparency.</w:t>
        <w:br/>
        <w:t>3. Participant Retention: Over a 68-week trial duration, 92.6% of participants completed the trial and 81.1% adhered to the target medication regimen, an extraordinarily high retention rate for chronic anti-obesity trials.</w:t>
        <w:br/>
        <w:t>4. Multinational Scope: Conducted across 129 academic and clinical centers in 16 nations across North America, Europe, South America, and Asia.</w:t>
      </w:r>
    </w:p>
    <w:p>
      <w:pPr>
        <w:keepNext/>
        <w:spacing w:before="360" w:after="120"/>
      </w:pPr>
      <w:r>
        <w:rPr>
          <w:rFonts w:ascii="Times New Roman" w:hAnsi="Times New Roman"/>
          <w:b/>
          <w:color w:val="1F497D"/>
          <w:sz w:val="32"/>
        </w:rPr>
        <w:t>6. In-Depth Methodological Vulnerabilities and Blindspots</w:t>
      </w:r>
    </w:p>
    <w:p>
      <w:r>
        <w:t>Despite its clinical excellence, critical methodological blindspots compromised the trial's ability to detect neuropsychiatric safety signals:</w:t>
      </w:r>
    </w:p>
    <w:p>
      <w:r>
        <w:rPr>
          <w:b/>
          <w:color w:val="1F497D"/>
        </w:rPr>
        <w:t xml:space="preserve">• Systematic Psychiatric Exclusion: </w:t>
      </w:r>
      <w:r>
        <w:rPr>
          <w:color w:val="333333"/>
        </w:rPr>
        <w:t>Participants with a PHQ-9 score &gt;= 15, a history of major depressive disorder within 2 years, or any prior suicide attempt were strictly excluded. In the real world, 20% to 35% of individuals seeking obesity management carry co-occurring affective or depressive disorders. By screening out vulnerable individuals, the trial created an artificially resilient study population, masking vulnerability to GLP-1 receptor-mediated mood changes.</w:t>
      </w:r>
    </w:p>
    <w:p>
      <w:r>
        <w:rPr>
          <w:b/>
          <w:color w:val="1F497D"/>
        </w:rPr>
        <w:t xml:space="preserve">• Passive Adverse Event Collection: </w:t>
      </w:r>
      <w:r>
        <w:rPr>
          <w:color w:val="333333"/>
        </w:rPr>
        <w:t>Safety surveillance relied on spontaneous patient reporting and open-ended investigator questioning ('Have you felt unwell since the last visit?') rather than structured, validated psychiatric rating instruments (e.g., C-SSRS or weekly PHQ-9). Mild-to-moderate emotional blunting, anhedonia, and emergent suicidal thoughts are notoriously underreported in unstructured clinical interviews.</w:t>
      </w:r>
    </w:p>
    <w:p>
      <w:r>
        <w:rPr>
          <w:b/>
          <w:color w:val="1F497D"/>
        </w:rPr>
        <w:t xml:space="preserve">• Placebo vs. Active Comparator: </w:t>
      </w:r>
      <w:r>
        <w:rPr>
          <w:color w:val="333333"/>
        </w:rPr>
        <w:t>Employing an inert placebo control maximized the observed effect size of weight loss but prevented comparative safety evaluation against alternative metabolic interventions (e.g., SGLT2 inhibitors or intensive behavioral therapy alone).</w:t>
      </w:r>
    </w:p>
    <w:p>
      <w:r>
        <w:rPr>
          <w:b/>
          <w:color w:val="1F497D"/>
        </w:rPr>
        <w:t xml:space="preserve">• Post-Cessation Rebound: </w:t>
      </w:r>
      <w:r>
        <w:rPr>
          <w:color w:val="333333"/>
        </w:rPr>
        <w:t>The trial terminated follow-up at week 68 with only a 7-week safety extension. Subsequent extension studies (STEP 1 Trial Extension, Wilding et al., 2022) revealed that participants regained two-thirds of lost weight within 12 months of cessation. The psychological trauma and affective distress associated with rapid weight regain were uncaptured in the primary manuscript.</w:t>
      </w:r>
    </w:p>
    <w:p>
      <w:pPr>
        <w:keepNext/>
        <w:spacing w:before="360" w:after="120"/>
      </w:pPr>
      <w:r>
        <w:rPr>
          <w:rFonts w:ascii="Times New Roman" w:hAnsi="Times New Roman"/>
          <w:b/>
          <w:color w:val="1F497D"/>
          <w:sz w:val="32"/>
        </w:rPr>
        <w:t>7. Actionable Methodological Recommendations for Future Trials</w:t>
      </w:r>
    </w:p>
    <w:p>
      <w:r>
        <w:t>To elevate clinical trial methodology in cardiometabolic pharmacotherapy, we recommend three structural protocol modifications:</w:t>
        <w:br/>
        <w:t>1. Active Psychometric Screening: Incorporate mandatory baseline, mid-trial, and end-of-treatment electronic C-SSRS and PHQ-9 administration for all CNS-active or systemic incretin therapies.</w:t>
        <w:br/>
        <w:t>2. Pragmatic Eligibility Criteria: Liberalize psychiatric exclusion criteria to allow patients with stable, treated depression or mild anxiety, establishing safety in populations mirroring true clinical practice.</w:t>
        <w:br/>
        <w:t>3. Active-Comparator Trial Designs: Compare emerging incretins directly against active metabolic controls (e.g., dual GIP/GLP-1 agonists or SGLT2i) to establish comparative risk-benefit profiles.</w:t>
      </w:r>
    </w:p>
    <w:p>
      <w:pPr>
        <w:keepNext/>
        <w:spacing w:before="360" w:after="120"/>
      </w:pPr>
      <w:r>
        <w:rPr>
          <w:rFonts w:ascii="Times New Roman" w:hAnsi="Times New Roman"/>
          <w:b/>
          <w:color w:val="1F497D"/>
          <w:sz w:val="32"/>
        </w:rPr>
        <w:t>8. Cross-Week Synthesis: Why Pre-Approval RCTs Miss Post-Marketing Signals</w:t>
      </w:r>
    </w:p>
    <w:p>
      <w:r>
        <w:t>The findings of Week 4 seamlessly unite the four-week research portfolio:</w:t>
        <w:br/>
        <w:t>• In Week 1, we identified an empirical paradox: FAERS and VigiBase documented elevated suicidal ideation signals, whereas real-world EHR cohorts (Wang et al., 2024) indicated neutral or protective effects.</w:t>
        <w:br/>
        <w:t>• In Week 2, our empirical disproportionality analysis confirmed robust statistical signals for suicidal ideation (ROR 2.61) and panic attacks (ROR 4.40) in FAERS relative to SGLT2 inhibitors.</w:t>
        <w:br/>
        <w:t>• In Week 3, we designed a prospective active-surveillance cohort simulation (N = 2,000) explicitly engineered to capture validated psychometric endpoints and bridge observational gaps.</w:t>
        <w:br/>
        <w:t>• In Week 4, our critical evaluation of the STEP 1 trial provides the definitive methodological explanation: pre-approval RCTs are optimized for efficacy and systematically exclude psychiatric vulnerability, leaving post-marketing pharmacovigilance as the primary detector of real-world neuropsychiatric safety signals.</w:t>
      </w:r>
    </w:p>
    <w:p>
      <w:pPr>
        <w:keepNext/>
        <w:spacing w:before="360" w:after="120"/>
      </w:pPr>
      <w:r>
        <w:rPr>
          <w:rFonts w:ascii="Times New Roman" w:hAnsi="Times New Roman"/>
          <w:b/>
          <w:color w:val="1F497D"/>
          <w:sz w:val="32"/>
        </w:rPr>
        <w:t>9. References (APA 7th Edition)</w:t>
      </w:r>
    </w:p>
    <w:p>
      <w:pPr>
        <w:spacing w:after="120"/>
        <w:ind w:left="720" w:hanging="720"/>
      </w:pPr>
      <w:r>
        <w:rPr>
          <w:rFonts w:ascii="Times New Roman" w:hAnsi="Times New Roman"/>
          <w:sz w:val="20"/>
        </w:rPr>
        <w:t>Consortium for Reporting Trials. (2010). CONSORT 2010 Explanation and Elaboration: updated guidelines for reporting parallel group randomised trials. BMJ, 340, c869.</w:t>
      </w:r>
    </w:p>
    <w:p>
      <w:pPr>
        <w:spacing w:after="120"/>
        <w:ind w:left="720" w:hanging="720"/>
      </w:pPr>
      <w:r>
        <w:rPr>
          <w:rFonts w:ascii="Times New Roman" w:hAnsi="Times New Roman"/>
          <w:sz w:val="20"/>
        </w:rPr>
        <w:t>International Council for Harmonisation. (2016). Integrated Addendum to ICH E6(R1): Guideline for Good Clinical Practice E6(R2). Current Step 4 Version.</w:t>
      </w:r>
    </w:p>
    <w:p>
      <w:pPr>
        <w:spacing w:after="120"/>
        <w:ind w:left="720" w:hanging="720"/>
      </w:pPr>
      <w:r>
        <w:rPr>
          <w:rFonts w:ascii="Times New Roman" w:hAnsi="Times New Roman"/>
          <w:sz w:val="20"/>
        </w:rPr>
        <w:t>Khouri, C., et al. (2024). The REporting of A Disproportionality Analysis for DrUg Safety Signal Detection Using Individual Case Safety Reports in PharmacoVigilance (READUS-PV). Drug Safety, 47(6), 541-558.</w:t>
      </w:r>
    </w:p>
    <w:p>
      <w:pPr>
        <w:spacing w:after="120"/>
        <w:ind w:left="720" w:hanging="720"/>
      </w:pPr>
      <w:r>
        <w:rPr>
          <w:rFonts w:ascii="Times New Roman" w:hAnsi="Times New Roman"/>
          <w:sz w:val="20"/>
        </w:rPr>
        <w:t>Wang, W., Volkow, N. D., et al. (2024). Association of semaglutide with risk of suicidal ideation in a real-world cohort. Nature Medicine, 30(1), 168-176.</w:t>
      </w:r>
    </w:p>
    <w:p>
      <w:pPr>
        <w:spacing w:after="120"/>
        <w:ind w:left="720" w:hanging="720"/>
      </w:pPr>
      <w:r>
        <w:rPr>
          <w:rFonts w:ascii="Times New Roman" w:hAnsi="Times New Roman"/>
          <w:sz w:val="20"/>
        </w:rPr>
        <w:t>Wilding, J. P. H., Batterham, R. L., Calanna, S., et al. (2021). Once-Weekly Semaglutide in Adults with Overweight or Obesity (STEP 1 Trial). New England Journal of Medicine, 384(11), 989-1002. https://doi.org/10.1056/NEJMoa2032183</w:t>
      </w:r>
    </w:p>
    <w:p>
      <w:pPr>
        <w:spacing w:after="120"/>
        <w:ind w:left="720" w:hanging="720"/>
      </w:pPr>
      <w:r>
        <w:rPr>
          <w:rFonts w:ascii="Times New Roman" w:hAnsi="Times New Roman"/>
          <w:sz w:val="20"/>
        </w:rPr>
        <w:t>Wilding, J. P. H., et al. (2022). Weight regain and cardiometabolic effects after withdrawal of semaglutide: The STEP 1 trial extension. Diabetes, Obesity and Metabolism, 24(8), 1553-1564.</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7"/>
      </w:rPr>
      <w:t>Confidential Academic Research Portfolio | AntiGravity Enterprise Framework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808080"/>
        <w:sz w:val="17"/>
      </w:rPr>
      <w:t>Pharmaceutical Research Assistant Internship | Research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