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D985" w14:textId="77777777" w:rsidR="00CC4463" w:rsidRDefault="00CC4463">
      <w:pPr>
        <w:spacing w:before="720"/>
      </w:pPr>
    </w:p>
    <w:p w14:paraId="25AA8FE5" w14:textId="77777777" w:rsidR="00CC4463" w:rsidRDefault="00683C5D">
      <w:pPr>
        <w:spacing w:after="240"/>
      </w:pPr>
      <w:r>
        <w:rPr>
          <w:b/>
          <w:color w:val="366092"/>
          <w:sz w:val="24"/>
        </w:rPr>
        <w:t>DELIVERABLE: WEEK 1 PORTFOLIO DELIVERABLE</w:t>
      </w:r>
    </w:p>
    <w:p w14:paraId="1B5F1019" w14:textId="77777777" w:rsidR="00CC4463" w:rsidRDefault="00683C5D">
      <w:pPr>
        <w:spacing w:after="240"/>
      </w:pPr>
      <w:r>
        <w:rPr>
          <w:b/>
          <w:color w:val="1F497D"/>
          <w:sz w:val="48"/>
        </w:rPr>
        <w:t>Post-Marketing Pharmacovigilance and Safety Profiling of Semaglutide</w:t>
      </w:r>
    </w:p>
    <w:p w14:paraId="28F942A2" w14:textId="77777777" w:rsidR="00CC4463" w:rsidRDefault="00683C5D">
      <w:pPr>
        <w:spacing w:after="720"/>
      </w:pPr>
      <w:r>
        <w:rPr>
          <w:i/>
          <w:sz w:val="28"/>
        </w:rPr>
        <w:t>A Critical Systematic Literature Review, Evidence Synthesis, and Research Proposal Foundation</w:t>
      </w:r>
    </w:p>
    <w:p w14:paraId="7D7E197D" w14:textId="77777777" w:rsidR="00CC4463" w:rsidRDefault="00683C5D">
      <w:pPr>
        <w:spacing w:after="720"/>
      </w:pPr>
      <w:r>
        <w:rPr>
          <w:color w:val="366092"/>
        </w:rPr>
        <w:t>―――――――――――――――――――――――――――――――――――――――――――――</w:t>
      </w:r>
    </w:p>
    <w:p w14:paraId="69A4CC0A" w14:textId="75D3E529" w:rsidR="00CC4463" w:rsidRDefault="00683C5D">
      <w:pPr>
        <w:spacing w:after="960"/>
      </w:pPr>
      <w:r>
        <w:rPr>
          <w:b/>
          <w:sz w:val="21"/>
        </w:rPr>
        <w:t xml:space="preserve">Researcher: </w:t>
      </w:r>
      <w:r>
        <w:rPr>
          <w:sz w:val="21"/>
        </w:rPr>
        <w:t xml:space="preserve"> </w:t>
      </w:r>
      <w:r w:rsidR="00816E6C">
        <w:rPr>
          <w:sz w:val="21"/>
        </w:rPr>
        <w:t>Narendra</w:t>
      </w:r>
      <w:r>
        <w:rPr>
          <w:sz w:val="21"/>
        </w:rPr>
        <w:br/>
      </w:r>
      <w:r>
        <w:rPr>
          <w:b/>
          <w:sz w:val="21"/>
        </w:rPr>
        <w:t xml:space="preserve">Role: </w:t>
      </w:r>
      <w:r>
        <w:rPr>
          <w:sz w:val="21"/>
        </w:rPr>
        <w:t>Pharmaceutical Research Assistant</w:t>
      </w:r>
      <w:r>
        <w:rPr>
          <w:sz w:val="21"/>
        </w:rPr>
        <w:br/>
      </w:r>
      <w:r>
        <w:rPr>
          <w:b/>
          <w:sz w:val="21"/>
        </w:rPr>
        <w:t xml:space="preserve">Institution / Internship: </w:t>
      </w:r>
      <w:r>
        <w:rPr>
          <w:sz w:val="21"/>
        </w:rPr>
        <w:t>Pharmaceutical Research Assistant Internship</w:t>
      </w:r>
      <w:r>
        <w:rPr>
          <w:sz w:val="21"/>
        </w:rPr>
        <w:br/>
      </w:r>
      <w:r>
        <w:rPr>
          <w:b/>
          <w:sz w:val="21"/>
        </w:rPr>
        <w:t xml:space="preserve">Date: </w:t>
      </w:r>
      <w:r>
        <w:rPr>
          <w:sz w:val="21"/>
        </w:rPr>
        <w:t>September 2026</w:t>
      </w:r>
      <w:r>
        <w:rPr>
          <w:sz w:val="21"/>
        </w:rPr>
        <w:br/>
      </w:r>
      <w:r>
        <w:rPr>
          <w:b/>
          <w:sz w:val="21"/>
        </w:rPr>
        <w:t xml:space="preserve">Citation Style: </w:t>
      </w:r>
      <w:r>
        <w:rPr>
          <w:sz w:val="21"/>
        </w:rPr>
        <w:t>American Psychological Association (APA) 7th Edition</w:t>
      </w:r>
      <w:r>
        <w:rPr>
          <w:sz w:val="21"/>
        </w:rPr>
        <w:br/>
      </w:r>
    </w:p>
    <w:p w14:paraId="723490BE" w14:textId="77777777" w:rsidR="00CC4463" w:rsidRDefault="00683C5D">
      <w:r>
        <w:br w:type="page"/>
      </w:r>
    </w:p>
    <w:p w14:paraId="65A1C58D" w14:textId="77777777" w:rsidR="00CC4463" w:rsidRDefault="00683C5D">
      <w:pPr>
        <w:keepNext/>
        <w:spacing w:before="360"/>
      </w:pPr>
      <w:r>
        <w:rPr>
          <w:b/>
          <w:color w:val="1F497D"/>
          <w:sz w:val="32"/>
        </w:rPr>
        <w:lastRenderedPageBreak/>
        <w:t>Table of Contents</w:t>
      </w:r>
    </w:p>
    <w:p w14:paraId="0A24AE3C" w14:textId="77777777" w:rsidR="00CC4463" w:rsidRDefault="00683C5D">
      <w:pPr>
        <w:spacing w:after="40"/>
      </w:pPr>
      <w:r>
        <w:rPr>
          <w:b/>
          <w:color w:val="1F497D"/>
          <w:sz w:val="21"/>
        </w:rPr>
        <w:t>1. Executive Summary</w:t>
      </w:r>
    </w:p>
    <w:p w14:paraId="3C3CD883" w14:textId="77777777" w:rsidR="00CC4463" w:rsidRDefault="00683C5D">
      <w:pPr>
        <w:spacing w:after="40"/>
      </w:pPr>
      <w:r>
        <w:rPr>
          <w:b/>
          <w:color w:val="1F497D"/>
          <w:sz w:val="21"/>
        </w:rPr>
        <w:t>2. Clinical Background &amp; Pharmacological Context</w:t>
      </w:r>
    </w:p>
    <w:p w14:paraId="054AF395" w14:textId="77777777" w:rsidR="00CC4463" w:rsidRDefault="00683C5D">
      <w:pPr>
        <w:spacing w:after="40"/>
      </w:pPr>
      <w:r>
        <w:rPr>
          <w:b/>
          <w:color w:val="1F497D"/>
          <w:sz w:val="21"/>
        </w:rPr>
        <w:t>3. Systematic Literature Search Methodology</w:t>
      </w:r>
    </w:p>
    <w:p w14:paraId="276F5460" w14:textId="77777777" w:rsidR="00CC4463" w:rsidRDefault="00683C5D">
      <w:pPr>
        <w:spacing w:after="40"/>
      </w:pPr>
      <w:r>
        <w:rPr>
          <w:sz w:val="21"/>
        </w:rPr>
        <w:t xml:space="preserve">    3.1 Search Strategy and Database Parameters</w:t>
      </w:r>
    </w:p>
    <w:p w14:paraId="7504B805" w14:textId="77777777" w:rsidR="00CC4463" w:rsidRDefault="00683C5D">
      <w:pPr>
        <w:spacing w:after="40"/>
      </w:pPr>
      <w:r>
        <w:rPr>
          <w:sz w:val="21"/>
        </w:rPr>
        <w:t xml:space="preserve">    3.2 Inclusion and Exclusion Criteria</w:t>
      </w:r>
    </w:p>
    <w:p w14:paraId="51148D27" w14:textId="77777777" w:rsidR="00CC4463" w:rsidRDefault="00683C5D">
      <w:pPr>
        <w:spacing w:after="40"/>
      </w:pPr>
      <w:r>
        <w:rPr>
          <w:b/>
          <w:color w:val="1F497D"/>
          <w:sz w:val="21"/>
        </w:rPr>
        <w:t>4. Evidence Matrix: Summary of Verified Scholarly Literature</w:t>
      </w:r>
    </w:p>
    <w:p w14:paraId="1C77FC65" w14:textId="77777777" w:rsidR="00CC4463" w:rsidRDefault="00683C5D">
      <w:pPr>
        <w:spacing w:after="40"/>
      </w:pPr>
      <w:r>
        <w:rPr>
          <w:b/>
          <w:color w:val="1F497D"/>
          <w:sz w:val="21"/>
        </w:rPr>
        <w:t>5. Critical Thematic Synthesis</w:t>
      </w:r>
    </w:p>
    <w:p w14:paraId="421A5F65" w14:textId="77777777" w:rsidR="00CC4463" w:rsidRDefault="00683C5D">
      <w:pPr>
        <w:spacing w:after="40"/>
      </w:pPr>
      <w:r>
        <w:rPr>
          <w:sz w:val="21"/>
        </w:rPr>
        <w:t xml:space="preserve">    5.1 Emerging Trends in GLP-1 Receptor Agonist Surveillance</w:t>
      </w:r>
    </w:p>
    <w:p w14:paraId="08CA8215" w14:textId="77777777" w:rsidR="00CC4463" w:rsidRDefault="00683C5D">
      <w:pPr>
        <w:spacing w:after="40"/>
      </w:pPr>
      <w:r>
        <w:rPr>
          <w:sz w:val="21"/>
        </w:rPr>
        <w:t xml:space="preserve">    5.2 Major Breakthroughs and Discrepant Findings in Psychiatric Safety</w:t>
      </w:r>
    </w:p>
    <w:p w14:paraId="5BED11AE" w14:textId="77777777" w:rsidR="00CC4463" w:rsidRDefault="00683C5D">
      <w:pPr>
        <w:spacing w:after="40"/>
      </w:pPr>
      <w:r>
        <w:rPr>
          <w:sz w:val="21"/>
        </w:rPr>
        <w:t xml:space="preserve">    5.3 Methodological Challenges in Spontaneous Pharmacovigilance</w:t>
      </w:r>
    </w:p>
    <w:p w14:paraId="30CC26F0" w14:textId="77777777" w:rsidR="00CC4463" w:rsidRDefault="00683C5D">
      <w:pPr>
        <w:spacing w:after="40"/>
      </w:pPr>
      <w:r>
        <w:rPr>
          <w:sz w:val="21"/>
        </w:rPr>
        <w:t xml:space="preserve">    5.4 Identification of Unresolved Research Gaps</w:t>
      </w:r>
    </w:p>
    <w:p w14:paraId="22FEA027" w14:textId="77777777" w:rsidR="00CC4463" w:rsidRDefault="00683C5D">
      <w:pPr>
        <w:spacing w:after="40"/>
      </w:pPr>
      <w:r>
        <w:rPr>
          <w:b/>
          <w:color w:val="1F497D"/>
          <w:sz w:val="21"/>
        </w:rPr>
        <w:t>6. Research Proposal Foundation</w:t>
      </w:r>
    </w:p>
    <w:p w14:paraId="1D52BF47" w14:textId="77777777" w:rsidR="00CC4463" w:rsidRDefault="00683C5D">
      <w:pPr>
        <w:spacing w:after="40"/>
      </w:pPr>
      <w:r>
        <w:rPr>
          <w:sz w:val="21"/>
        </w:rPr>
        <w:t xml:space="preserve">    6.1 Research Problem Statement</w:t>
      </w:r>
    </w:p>
    <w:p w14:paraId="0A80C8BC" w14:textId="77777777" w:rsidR="00CC4463" w:rsidRDefault="00683C5D">
      <w:pPr>
        <w:spacing w:after="40"/>
      </w:pPr>
      <w:r>
        <w:rPr>
          <w:sz w:val="21"/>
        </w:rPr>
        <w:t xml:space="preserve">    6.2 PICO Framework and Research Questions</w:t>
      </w:r>
    </w:p>
    <w:p w14:paraId="09A181C8" w14:textId="77777777" w:rsidR="00CC4463" w:rsidRDefault="00683C5D">
      <w:pPr>
        <w:spacing w:after="40"/>
      </w:pPr>
      <w:r>
        <w:rPr>
          <w:sz w:val="21"/>
        </w:rPr>
        <w:t xml:space="preserve">    6.3 Formal Hypotheses (Null vs. Alternative)</w:t>
      </w:r>
    </w:p>
    <w:p w14:paraId="13FC92F3" w14:textId="77777777" w:rsidR="00CC4463" w:rsidRDefault="00683C5D">
      <w:pPr>
        <w:spacing w:after="40"/>
      </w:pPr>
      <w:r>
        <w:rPr>
          <w:sz w:val="21"/>
        </w:rPr>
        <w:t xml:space="preserve">    6.4 Conceptual Framework and Analytical Logic</w:t>
      </w:r>
    </w:p>
    <w:p w14:paraId="5B9E3E15" w14:textId="77777777" w:rsidR="00CC4463" w:rsidRDefault="00683C5D">
      <w:pPr>
        <w:spacing w:after="40"/>
      </w:pPr>
      <w:r>
        <w:rPr>
          <w:b/>
          <w:color w:val="1F497D"/>
          <w:sz w:val="21"/>
        </w:rPr>
        <w:t>7. Anticipated Translational Impact</w:t>
      </w:r>
    </w:p>
    <w:p w14:paraId="60C0823F" w14:textId="77777777" w:rsidR="00CC4463" w:rsidRDefault="00683C5D">
      <w:pPr>
        <w:spacing w:after="40"/>
      </w:pPr>
      <w:r>
        <w:rPr>
          <w:b/>
          <w:color w:val="1F497D"/>
          <w:sz w:val="21"/>
        </w:rPr>
        <w:t>8. References (APA 7th Edition)</w:t>
      </w:r>
    </w:p>
    <w:p w14:paraId="545183D3" w14:textId="77777777" w:rsidR="00CC4463" w:rsidRDefault="00683C5D">
      <w:r>
        <w:br w:type="page"/>
      </w:r>
    </w:p>
    <w:p w14:paraId="563B26CB" w14:textId="77777777" w:rsidR="00CC4463" w:rsidRDefault="00683C5D">
      <w:pPr>
        <w:keepNext/>
        <w:spacing w:before="360"/>
      </w:pPr>
      <w:r>
        <w:rPr>
          <w:b/>
          <w:color w:val="1F497D"/>
          <w:sz w:val="32"/>
        </w:rPr>
        <w:lastRenderedPageBreak/>
        <w:t>1. Executive Summary</w:t>
      </w:r>
    </w:p>
    <w:p w14:paraId="364C1E3A" w14:textId="77777777" w:rsidR="00CC4463" w:rsidRDefault="00683C5D">
      <w:r>
        <w:t>Semaglutide, a long-acting glucagon-like peptide-1 receptor agonist (GLP-1 RA), has emerged as a cornerstone therapeutic agent for type 2 diabetes mellitus (T2DM) and chronic weight management. Following widespread global adoption, post-marketing spontaneous reporting systems—most notably the United States Food and Drug Administration Adverse Event Reporting System (FAERS)—have registered disproportionate safety signals pertaining to neuropsychiatric adverse drug reactions (ADRs), including depression, anxiety, panic attacks, and suicidal ideation.</w:t>
      </w:r>
    </w:p>
    <w:p w14:paraId="213060CD" w14:textId="77777777" w:rsidR="00CC4463" w:rsidRDefault="00683C5D">
      <w:r>
        <w:t>This Week 1 comprehensive review evaluates the current state of scholarly evidence surrounding semaglutide safety. A systematic search across PubMed, Embase, and Crossref yielded 17 peer-reviewed, verified scholarly publications published between 2020 and 2026. Evidence synthesis demonstrates a critical scientific paradox: while spontaneous reporting databases (FAERS, WHO VigiBase) consistently reveal elevated Reporting Odds Ratios (ROR &gt; 2.0) for depressive mood and suicidal ideation, large-scale Electronic Health Record (EHR) cohort analyses (e.g., Wang et al., 2024, Nature Medicine) demonstrate neutral to potentially protective associations. This divergence underscores profound methodological limitations inherent in spontaneous pharmacovigilance data, including notoriety bias, stimulated reporting following media publicity, confounding by indication, and the absence of accurate denominator exposure data.</w:t>
      </w:r>
    </w:p>
    <w:p w14:paraId="57FE681F" w14:textId="77777777" w:rsidR="00CC4463" w:rsidRDefault="00683C5D">
      <w:pPr>
        <w:spacing w:before="120" w:after="160"/>
        <w:ind w:left="432" w:right="432"/>
      </w:pPr>
      <w:r>
        <w:rPr>
          <w:b/>
          <w:color w:val="1F497D"/>
        </w:rPr>
        <w:t xml:space="preserve">[NOTE] </w:t>
      </w:r>
      <w:r>
        <w:rPr>
          <w:i/>
        </w:rPr>
        <w:t>Core Finding: Spontaneous pharmacovigilance systems provide rapid hypothesis-generating safety signals, but active-comparator prospective surveillance is urgently required to delineate drug-induced etiology from underlying psychiatric comorbidities in obesity and type 2 diabetes.</w:t>
      </w:r>
    </w:p>
    <w:p w14:paraId="55ED4A52" w14:textId="77777777" w:rsidR="00CC4463" w:rsidRDefault="00683C5D">
      <w:pPr>
        <w:keepNext/>
        <w:spacing w:before="360"/>
      </w:pPr>
      <w:r>
        <w:rPr>
          <w:b/>
          <w:color w:val="1F497D"/>
          <w:sz w:val="32"/>
        </w:rPr>
        <w:t>2. Clinical Background &amp; Pharmacological Context</w:t>
      </w:r>
    </w:p>
    <w:p w14:paraId="0B491C8F" w14:textId="77777777" w:rsidR="00CC4463" w:rsidRDefault="00683C5D">
      <w:r>
        <w:t>GLP-1 receptor agonists mimic endogenous glucagon-like peptide-1, enhancing glucose-dependent insulin secretion, suppressing inappropriate glucagon release, delaying gastric emptying, and centrally mediating appetite regulation through hypothalamic GLP-1 receptors. Semaglutide is commercially formulated as once-weekly subcutaneous injections for diabetes (Ozempic, 0.5 mg to 2.0 mg) and obesity (Wegovy, 2.4 mg), as well as a once-daily oral tablet (Rybelsus, 3 mg to 14 mg) co-formulated with sodium N-[8-(2-hydroxybenzoyl) amino] caprylate (SNAC) to facilitate gastric absorption.</w:t>
      </w:r>
    </w:p>
    <w:p w14:paraId="0ED95B97" w14:textId="77777777" w:rsidR="00CC4463" w:rsidRDefault="00683C5D">
      <w:r>
        <w:t>Pivotal Phase III clinical trials, including the SUSTAIN and STEP clinical programs (Wilding et al., 2021), established profound clinical efficacy, demonstrating mean body weight reductions of 14.9% alongside substantial glycated hemoglobin (HbA1c) decreases. However, randomized controlled trials (RCTs) typically enroll narrowly selected cohorts, excluding patients with active major psychiatric illness, severe hepatic or renal impairment, and polypharmacy. Consequently, real-world post-marketing exposure among millions of patients across diverse demographic and clinical backgrounds has revealed safety considerations that escaped pre-approval detection.</w:t>
      </w:r>
    </w:p>
    <w:p w14:paraId="439B67D4" w14:textId="77777777" w:rsidR="00CC4463" w:rsidRDefault="00683C5D">
      <w:pPr>
        <w:keepNext/>
        <w:spacing w:before="360"/>
      </w:pPr>
      <w:r>
        <w:rPr>
          <w:b/>
          <w:color w:val="1F497D"/>
          <w:sz w:val="32"/>
        </w:rPr>
        <w:lastRenderedPageBreak/>
        <w:t>3. Systematic Literature Search Methodology</w:t>
      </w:r>
    </w:p>
    <w:p w14:paraId="3BEAFDCB" w14:textId="77777777" w:rsidR="00CC4463" w:rsidRDefault="00683C5D">
      <w:pPr>
        <w:keepNext/>
        <w:spacing w:before="240" w:after="80"/>
      </w:pPr>
      <w:r>
        <w:rPr>
          <w:b/>
          <w:color w:val="366092"/>
          <w:sz w:val="26"/>
        </w:rPr>
        <w:t>3.1 Search Strategy and Database Parameters</w:t>
      </w:r>
    </w:p>
    <w:p w14:paraId="41171D0D" w14:textId="77777777" w:rsidR="00CC4463" w:rsidRDefault="00683C5D">
      <w:r>
        <w:t>To establish a rigorous evidence base, a systematic search was conducted across international scholarly databases including PubMed/MEDLINE, Google Scholar, and Crossref, complemented by regulatory safety communications from the FDA, EMA, and MHRA. The search strategy incorporated controlled vocabulary (Medical Subject Headings [MeSH]) and targeted boolean syntax:</w:t>
      </w:r>
    </w:p>
    <w:p w14:paraId="2EC2606D" w14:textId="77777777" w:rsidR="00CC4463" w:rsidRDefault="00683C5D">
      <w:r>
        <w:t>('Semaglutide'[Mesh] OR 'GLP-1 Receptor Agonists'[Mesh] OR 'Ozempic' OR 'Wegovy' OR 'Rybelsus') AND ('Adverse Drug Reaction Reporting Systems'[Mesh] OR 'Pharmacovigilance'[Mesh] OR 'FAERS' OR 'Disproportionality Analysis') AND ('Depression'[Mesh] OR 'Suicidal Ideation'[Mesh] OR 'Psychiatric Disorders' OR 'Safety Profile').</w:t>
      </w:r>
    </w:p>
    <w:p w14:paraId="71FA143B" w14:textId="77777777" w:rsidR="00CC4463" w:rsidRDefault="00683C5D">
      <w:pPr>
        <w:keepNext/>
        <w:spacing w:before="240" w:after="80"/>
      </w:pPr>
      <w:r>
        <w:rPr>
          <w:b/>
          <w:color w:val="366092"/>
          <w:sz w:val="26"/>
        </w:rPr>
        <w:t>3.2 Inclusion and Exclusion Criteria</w:t>
      </w:r>
    </w:p>
    <w:p w14:paraId="21E70516" w14:textId="77777777" w:rsidR="00CC4463" w:rsidRDefault="00683C5D">
      <w:r>
        <w:t>Study selection adhered to predefined eligibility criteria structured to ensure high academic validity, reproducibility, and relevance to the pharmacovigilance research scope.</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2160"/>
        <w:gridCol w:w="3600"/>
        <w:gridCol w:w="3600"/>
      </w:tblGrid>
      <w:tr w:rsidR="00CC4463" w14:paraId="137BDA1D" w14:textId="77777777">
        <w:trPr>
          <w:jc w:val="center"/>
        </w:trPr>
        <w:tc>
          <w:tcPr>
            <w:tcW w:w="2160" w:type="dxa"/>
            <w:shd w:val="clear" w:color="auto" w:fill="1F497D"/>
            <w:tcMar>
              <w:top w:w="140" w:type="dxa"/>
              <w:left w:w="180" w:type="dxa"/>
              <w:bottom w:w="140" w:type="dxa"/>
              <w:right w:w="180" w:type="dxa"/>
            </w:tcMar>
            <w:vAlign w:val="center"/>
          </w:tcPr>
          <w:p w14:paraId="36BAD4F7" w14:textId="77777777" w:rsidR="00CC4463" w:rsidRDefault="00683C5D">
            <w:r>
              <w:rPr>
                <w:b/>
                <w:color w:val="FFFFFF"/>
                <w:sz w:val="20"/>
              </w:rPr>
              <w:t>Criterion Category</w:t>
            </w:r>
          </w:p>
        </w:tc>
        <w:tc>
          <w:tcPr>
            <w:tcW w:w="3600" w:type="dxa"/>
            <w:shd w:val="clear" w:color="auto" w:fill="1F497D"/>
            <w:tcMar>
              <w:top w:w="140" w:type="dxa"/>
              <w:left w:w="180" w:type="dxa"/>
              <w:bottom w:w="140" w:type="dxa"/>
              <w:right w:w="180" w:type="dxa"/>
            </w:tcMar>
            <w:vAlign w:val="center"/>
          </w:tcPr>
          <w:p w14:paraId="3888D582" w14:textId="77777777" w:rsidR="00CC4463" w:rsidRDefault="00683C5D">
            <w:r>
              <w:rPr>
                <w:b/>
                <w:color w:val="FFFFFF"/>
                <w:sz w:val="20"/>
              </w:rPr>
              <w:t>Inclusion Criteria</w:t>
            </w:r>
          </w:p>
        </w:tc>
        <w:tc>
          <w:tcPr>
            <w:tcW w:w="3600" w:type="dxa"/>
            <w:shd w:val="clear" w:color="auto" w:fill="1F497D"/>
            <w:tcMar>
              <w:top w:w="140" w:type="dxa"/>
              <w:left w:w="180" w:type="dxa"/>
              <w:bottom w:w="140" w:type="dxa"/>
              <w:right w:w="180" w:type="dxa"/>
            </w:tcMar>
            <w:vAlign w:val="center"/>
          </w:tcPr>
          <w:p w14:paraId="7473A488" w14:textId="77777777" w:rsidR="00CC4463" w:rsidRDefault="00683C5D">
            <w:r>
              <w:rPr>
                <w:b/>
                <w:color w:val="FFFFFF"/>
                <w:sz w:val="20"/>
              </w:rPr>
              <w:t>Exclusion Criteria</w:t>
            </w:r>
          </w:p>
        </w:tc>
      </w:tr>
      <w:tr w:rsidR="00CC4463" w14:paraId="0944D6A4" w14:textId="77777777">
        <w:trPr>
          <w:jc w:val="center"/>
        </w:trPr>
        <w:tc>
          <w:tcPr>
            <w:tcW w:w="2160" w:type="dxa"/>
            <w:shd w:val="clear" w:color="auto" w:fill="F2F4F7"/>
            <w:tcMar>
              <w:top w:w="100" w:type="dxa"/>
              <w:left w:w="150" w:type="dxa"/>
              <w:bottom w:w="100" w:type="dxa"/>
              <w:right w:w="150" w:type="dxa"/>
            </w:tcMar>
            <w:vAlign w:val="center"/>
          </w:tcPr>
          <w:p w14:paraId="116B42CF" w14:textId="77777777" w:rsidR="00CC4463" w:rsidRDefault="00683C5D">
            <w:r>
              <w:rPr>
                <w:sz w:val="19"/>
              </w:rPr>
              <w:t>Publication Period</w:t>
            </w:r>
          </w:p>
        </w:tc>
        <w:tc>
          <w:tcPr>
            <w:tcW w:w="3600" w:type="dxa"/>
            <w:shd w:val="clear" w:color="auto" w:fill="F2F4F7"/>
            <w:tcMar>
              <w:top w:w="100" w:type="dxa"/>
              <w:left w:w="150" w:type="dxa"/>
              <w:bottom w:w="100" w:type="dxa"/>
              <w:right w:w="150" w:type="dxa"/>
            </w:tcMar>
            <w:vAlign w:val="center"/>
          </w:tcPr>
          <w:p w14:paraId="5AEEC27C" w14:textId="77777777" w:rsidR="00CC4463" w:rsidRDefault="00683C5D">
            <w:r>
              <w:rPr>
                <w:sz w:val="19"/>
              </w:rPr>
              <w:t>Peer-reviewed studies published between 2020 and 2026</w:t>
            </w:r>
          </w:p>
        </w:tc>
        <w:tc>
          <w:tcPr>
            <w:tcW w:w="3600" w:type="dxa"/>
            <w:shd w:val="clear" w:color="auto" w:fill="F2F4F7"/>
            <w:tcMar>
              <w:top w:w="100" w:type="dxa"/>
              <w:left w:w="150" w:type="dxa"/>
              <w:bottom w:w="100" w:type="dxa"/>
              <w:right w:w="150" w:type="dxa"/>
            </w:tcMar>
            <w:vAlign w:val="center"/>
          </w:tcPr>
          <w:p w14:paraId="14A7ED3C" w14:textId="77777777" w:rsidR="00CC4463" w:rsidRDefault="00683C5D">
            <w:r>
              <w:rPr>
                <w:sz w:val="19"/>
              </w:rPr>
              <w:t>Pre-2020 publications lacking post-marketing Wegovy exposure</w:t>
            </w:r>
          </w:p>
        </w:tc>
      </w:tr>
      <w:tr w:rsidR="00CC4463" w14:paraId="204A6BBC" w14:textId="77777777">
        <w:trPr>
          <w:jc w:val="center"/>
        </w:trPr>
        <w:tc>
          <w:tcPr>
            <w:tcW w:w="2160" w:type="dxa"/>
            <w:shd w:val="clear" w:color="auto" w:fill="FFFFFF"/>
            <w:tcMar>
              <w:top w:w="100" w:type="dxa"/>
              <w:left w:w="150" w:type="dxa"/>
              <w:bottom w:w="100" w:type="dxa"/>
              <w:right w:w="150" w:type="dxa"/>
            </w:tcMar>
            <w:vAlign w:val="center"/>
          </w:tcPr>
          <w:p w14:paraId="30EAFBC4" w14:textId="77777777" w:rsidR="00CC4463" w:rsidRDefault="00683C5D">
            <w:r>
              <w:rPr>
                <w:sz w:val="19"/>
              </w:rPr>
              <w:t>Study Design</w:t>
            </w:r>
          </w:p>
        </w:tc>
        <w:tc>
          <w:tcPr>
            <w:tcW w:w="3600" w:type="dxa"/>
            <w:shd w:val="clear" w:color="auto" w:fill="FFFFFF"/>
            <w:tcMar>
              <w:top w:w="100" w:type="dxa"/>
              <w:left w:w="150" w:type="dxa"/>
              <w:bottom w:w="100" w:type="dxa"/>
              <w:right w:w="150" w:type="dxa"/>
            </w:tcMar>
            <w:vAlign w:val="center"/>
          </w:tcPr>
          <w:p w14:paraId="41C94BCB" w14:textId="77777777" w:rsidR="00CC4463" w:rsidRDefault="00683C5D">
            <w:r>
              <w:rPr>
                <w:sz w:val="19"/>
              </w:rPr>
              <w:t>Spontaneous reporting pharmacovigilance (FAERS, VigiBase), RCT safety updates, prospective/retrospective cohorts</w:t>
            </w:r>
          </w:p>
        </w:tc>
        <w:tc>
          <w:tcPr>
            <w:tcW w:w="3600" w:type="dxa"/>
            <w:shd w:val="clear" w:color="auto" w:fill="FFFFFF"/>
            <w:tcMar>
              <w:top w:w="100" w:type="dxa"/>
              <w:left w:w="150" w:type="dxa"/>
              <w:bottom w:w="100" w:type="dxa"/>
              <w:right w:w="150" w:type="dxa"/>
            </w:tcMar>
            <w:vAlign w:val="center"/>
          </w:tcPr>
          <w:p w14:paraId="626D906C" w14:textId="77777777" w:rsidR="00CC4463" w:rsidRDefault="00683C5D">
            <w:r>
              <w:rPr>
                <w:sz w:val="19"/>
              </w:rPr>
              <w:t>Opinion pieces, unstructured editorials, conference abstracts without full methodology</w:t>
            </w:r>
          </w:p>
        </w:tc>
      </w:tr>
      <w:tr w:rsidR="00CC4463" w14:paraId="4D2F2717" w14:textId="77777777">
        <w:trPr>
          <w:jc w:val="center"/>
        </w:trPr>
        <w:tc>
          <w:tcPr>
            <w:tcW w:w="2160" w:type="dxa"/>
            <w:shd w:val="clear" w:color="auto" w:fill="F2F4F7"/>
            <w:tcMar>
              <w:top w:w="100" w:type="dxa"/>
              <w:left w:w="150" w:type="dxa"/>
              <w:bottom w:w="100" w:type="dxa"/>
              <w:right w:w="150" w:type="dxa"/>
            </w:tcMar>
            <w:vAlign w:val="center"/>
          </w:tcPr>
          <w:p w14:paraId="6213BF5F" w14:textId="77777777" w:rsidR="00CC4463" w:rsidRDefault="00683C5D">
            <w:r>
              <w:rPr>
                <w:sz w:val="19"/>
              </w:rPr>
              <w:t>Intervention / Drug</w:t>
            </w:r>
          </w:p>
        </w:tc>
        <w:tc>
          <w:tcPr>
            <w:tcW w:w="3600" w:type="dxa"/>
            <w:shd w:val="clear" w:color="auto" w:fill="F2F4F7"/>
            <w:tcMar>
              <w:top w:w="100" w:type="dxa"/>
              <w:left w:w="150" w:type="dxa"/>
              <w:bottom w:w="100" w:type="dxa"/>
              <w:right w:w="150" w:type="dxa"/>
            </w:tcMar>
            <w:vAlign w:val="center"/>
          </w:tcPr>
          <w:p w14:paraId="2AA18292" w14:textId="77777777" w:rsidR="00CC4463" w:rsidRDefault="00683C5D">
            <w:r>
              <w:rPr>
                <w:sz w:val="19"/>
              </w:rPr>
              <w:t>Semaglutide (subcutaneous or oral), class-wide GLP-1 RAs with explicit semaglutide disaggregation</w:t>
            </w:r>
          </w:p>
        </w:tc>
        <w:tc>
          <w:tcPr>
            <w:tcW w:w="3600" w:type="dxa"/>
            <w:shd w:val="clear" w:color="auto" w:fill="F2F4F7"/>
            <w:tcMar>
              <w:top w:w="100" w:type="dxa"/>
              <w:left w:w="150" w:type="dxa"/>
              <w:bottom w:w="100" w:type="dxa"/>
              <w:right w:w="150" w:type="dxa"/>
            </w:tcMar>
            <w:vAlign w:val="center"/>
          </w:tcPr>
          <w:p w14:paraId="111AD377" w14:textId="77777777" w:rsidR="00CC4463" w:rsidRDefault="00683C5D">
            <w:r>
              <w:rPr>
                <w:sz w:val="19"/>
              </w:rPr>
              <w:t>Studies examining non-incretin antidiabetic drugs without a GLP-1 comparator</w:t>
            </w:r>
          </w:p>
        </w:tc>
      </w:tr>
      <w:tr w:rsidR="00CC4463" w14:paraId="6EEB5508" w14:textId="77777777">
        <w:trPr>
          <w:jc w:val="center"/>
        </w:trPr>
        <w:tc>
          <w:tcPr>
            <w:tcW w:w="2160" w:type="dxa"/>
            <w:shd w:val="clear" w:color="auto" w:fill="FFFFFF"/>
            <w:tcMar>
              <w:top w:w="100" w:type="dxa"/>
              <w:left w:w="150" w:type="dxa"/>
              <w:bottom w:w="100" w:type="dxa"/>
              <w:right w:w="150" w:type="dxa"/>
            </w:tcMar>
            <w:vAlign w:val="center"/>
          </w:tcPr>
          <w:p w14:paraId="24FB734D" w14:textId="77777777" w:rsidR="00CC4463" w:rsidRDefault="00683C5D">
            <w:r>
              <w:rPr>
                <w:sz w:val="19"/>
              </w:rPr>
              <w:t>Outcome Measures</w:t>
            </w:r>
          </w:p>
        </w:tc>
        <w:tc>
          <w:tcPr>
            <w:tcW w:w="3600" w:type="dxa"/>
            <w:shd w:val="clear" w:color="auto" w:fill="FFFFFF"/>
            <w:tcMar>
              <w:top w:w="100" w:type="dxa"/>
              <w:left w:w="150" w:type="dxa"/>
              <w:bottom w:w="100" w:type="dxa"/>
              <w:right w:w="150" w:type="dxa"/>
            </w:tcMar>
            <w:vAlign w:val="center"/>
          </w:tcPr>
          <w:p w14:paraId="5D83118F" w14:textId="77777777" w:rsidR="00CC4463" w:rsidRDefault="00683C5D">
            <w:r>
              <w:rPr>
                <w:sz w:val="19"/>
              </w:rPr>
              <w:t>Disproportionality metrics (ROR, PRR, IC, EBGM), clinical psychiatric endpoints, severe adverse events</w:t>
            </w:r>
          </w:p>
        </w:tc>
        <w:tc>
          <w:tcPr>
            <w:tcW w:w="3600" w:type="dxa"/>
            <w:shd w:val="clear" w:color="auto" w:fill="FFFFFF"/>
            <w:tcMar>
              <w:top w:w="100" w:type="dxa"/>
              <w:left w:w="150" w:type="dxa"/>
              <w:bottom w:w="100" w:type="dxa"/>
              <w:right w:w="150" w:type="dxa"/>
            </w:tcMar>
            <w:vAlign w:val="center"/>
          </w:tcPr>
          <w:p w14:paraId="08458AD2" w14:textId="77777777" w:rsidR="00CC4463" w:rsidRDefault="00683C5D">
            <w:r>
              <w:rPr>
                <w:sz w:val="19"/>
              </w:rPr>
              <w:t>Preclinical animal-only assays lacking translational safety evaluation</w:t>
            </w:r>
          </w:p>
        </w:tc>
      </w:tr>
    </w:tbl>
    <w:p w14:paraId="5529FD54" w14:textId="77777777" w:rsidR="00CC4463" w:rsidRDefault="00CC4463"/>
    <w:p w14:paraId="46E86F3C" w14:textId="77777777" w:rsidR="00CC4463" w:rsidRDefault="00683C5D">
      <w:pPr>
        <w:keepNext/>
        <w:spacing w:before="360"/>
      </w:pPr>
      <w:r>
        <w:rPr>
          <w:b/>
          <w:color w:val="1F497D"/>
          <w:sz w:val="32"/>
        </w:rPr>
        <w:t>4. Evidence Matrix: Summary of Verified Scholarly Literature</w:t>
      </w:r>
    </w:p>
    <w:p w14:paraId="5E0023F7" w14:textId="77777777" w:rsidR="00CC4463" w:rsidRDefault="00683C5D">
      <w:r>
        <w:t>A total of 17 peer-reviewed studies meeting all quality and inclusion benchmarks were analyzed. Table 1 summarizes the investigative focus, methodological framework, and key findings of each verified scholarly source.</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1395"/>
        <w:gridCol w:w="1769"/>
        <w:gridCol w:w="1944"/>
        <w:gridCol w:w="1746"/>
        <w:gridCol w:w="2866"/>
      </w:tblGrid>
      <w:tr w:rsidR="00CC4463" w14:paraId="2B3D1E2E" w14:textId="77777777">
        <w:trPr>
          <w:jc w:val="center"/>
        </w:trPr>
        <w:tc>
          <w:tcPr>
            <w:tcW w:w="1440" w:type="dxa"/>
            <w:shd w:val="clear" w:color="auto" w:fill="1F497D"/>
            <w:tcMar>
              <w:top w:w="140" w:type="dxa"/>
              <w:left w:w="180" w:type="dxa"/>
              <w:bottom w:w="140" w:type="dxa"/>
              <w:right w:w="180" w:type="dxa"/>
            </w:tcMar>
            <w:vAlign w:val="center"/>
          </w:tcPr>
          <w:p w14:paraId="4670AC66" w14:textId="77777777" w:rsidR="00CC4463" w:rsidRDefault="00683C5D">
            <w:r>
              <w:rPr>
                <w:b/>
                <w:color w:val="FFFFFF"/>
                <w:sz w:val="20"/>
              </w:rPr>
              <w:t>PMID</w:t>
            </w:r>
          </w:p>
        </w:tc>
        <w:tc>
          <w:tcPr>
            <w:tcW w:w="1872" w:type="dxa"/>
            <w:shd w:val="clear" w:color="auto" w:fill="1F497D"/>
            <w:tcMar>
              <w:top w:w="140" w:type="dxa"/>
              <w:left w:w="180" w:type="dxa"/>
              <w:bottom w:w="140" w:type="dxa"/>
              <w:right w:w="180" w:type="dxa"/>
            </w:tcMar>
            <w:vAlign w:val="center"/>
          </w:tcPr>
          <w:p w14:paraId="6B928D95" w14:textId="77777777" w:rsidR="00CC4463" w:rsidRDefault="00683C5D">
            <w:r>
              <w:rPr>
                <w:b/>
                <w:color w:val="FFFFFF"/>
                <w:sz w:val="20"/>
              </w:rPr>
              <w:t>Author / Year</w:t>
            </w:r>
          </w:p>
        </w:tc>
        <w:tc>
          <w:tcPr>
            <w:tcW w:w="2016" w:type="dxa"/>
            <w:shd w:val="clear" w:color="auto" w:fill="1F497D"/>
            <w:tcMar>
              <w:top w:w="140" w:type="dxa"/>
              <w:left w:w="180" w:type="dxa"/>
              <w:bottom w:w="140" w:type="dxa"/>
              <w:right w:w="180" w:type="dxa"/>
            </w:tcMar>
            <w:vAlign w:val="center"/>
          </w:tcPr>
          <w:p w14:paraId="704E86BC" w14:textId="77777777" w:rsidR="00CC4463" w:rsidRDefault="00683C5D">
            <w:r>
              <w:rPr>
                <w:b/>
                <w:color w:val="FFFFFF"/>
                <w:sz w:val="20"/>
              </w:rPr>
              <w:t>Journal</w:t>
            </w:r>
          </w:p>
        </w:tc>
        <w:tc>
          <w:tcPr>
            <w:tcW w:w="1728" w:type="dxa"/>
            <w:shd w:val="clear" w:color="auto" w:fill="1F497D"/>
            <w:tcMar>
              <w:top w:w="140" w:type="dxa"/>
              <w:left w:w="180" w:type="dxa"/>
              <w:bottom w:w="140" w:type="dxa"/>
              <w:right w:w="180" w:type="dxa"/>
            </w:tcMar>
            <w:vAlign w:val="center"/>
          </w:tcPr>
          <w:p w14:paraId="0F93D302" w14:textId="77777777" w:rsidR="00CC4463" w:rsidRDefault="00683C5D">
            <w:r>
              <w:rPr>
                <w:b/>
                <w:color w:val="FFFFFF"/>
                <w:sz w:val="20"/>
              </w:rPr>
              <w:t>Study Design</w:t>
            </w:r>
          </w:p>
        </w:tc>
        <w:tc>
          <w:tcPr>
            <w:tcW w:w="3024" w:type="dxa"/>
            <w:shd w:val="clear" w:color="auto" w:fill="1F497D"/>
            <w:tcMar>
              <w:top w:w="140" w:type="dxa"/>
              <w:left w:w="180" w:type="dxa"/>
              <w:bottom w:w="140" w:type="dxa"/>
              <w:right w:w="180" w:type="dxa"/>
            </w:tcMar>
            <w:vAlign w:val="center"/>
          </w:tcPr>
          <w:p w14:paraId="3512BF2E" w14:textId="77777777" w:rsidR="00CC4463" w:rsidRDefault="00683C5D">
            <w:r>
              <w:rPr>
                <w:b/>
                <w:color w:val="FFFFFF"/>
                <w:sz w:val="20"/>
              </w:rPr>
              <w:t>Key Findings &amp; Contribution</w:t>
            </w:r>
          </w:p>
        </w:tc>
      </w:tr>
      <w:tr w:rsidR="00CC4463" w14:paraId="37A91811" w14:textId="77777777">
        <w:trPr>
          <w:jc w:val="center"/>
        </w:trPr>
        <w:tc>
          <w:tcPr>
            <w:tcW w:w="1440" w:type="dxa"/>
            <w:shd w:val="clear" w:color="auto" w:fill="F2F4F7"/>
            <w:tcMar>
              <w:top w:w="100" w:type="dxa"/>
              <w:left w:w="150" w:type="dxa"/>
              <w:bottom w:w="100" w:type="dxa"/>
              <w:right w:w="150" w:type="dxa"/>
            </w:tcMar>
            <w:vAlign w:val="center"/>
          </w:tcPr>
          <w:p w14:paraId="62BB95B6" w14:textId="77777777" w:rsidR="00CC4463" w:rsidRDefault="00683C5D">
            <w:r>
              <w:rPr>
                <w:sz w:val="19"/>
              </w:rPr>
              <w:lastRenderedPageBreak/>
              <w:t>38887555</w:t>
            </w:r>
          </w:p>
        </w:tc>
        <w:tc>
          <w:tcPr>
            <w:tcW w:w="1872" w:type="dxa"/>
            <w:shd w:val="clear" w:color="auto" w:fill="F2F4F7"/>
            <w:tcMar>
              <w:top w:w="100" w:type="dxa"/>
              <w:left w:w="150" w:type="dxa"/>
              <w:bottom w:w="100" w:type="dxa"/>
              <w:right w:w="150" w:type="dxa"/>
            </w:tcMar>
            <w:vAlign w:val="center"/>
          </w:tcPr>
          <w:p w14:paraId="516B6080"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1F61F23B" w14:textId="77777777" w:rsidR="00CC4463" w:rsidRDefault="00683C5D">
            <w:r>
              <w:rPr>
                <w:sz w:val="19"/>
              </w:rPr>
              <w:t>Frontiers in Pharmacology</w:t>
            </w:r>
          </w:p>
        </w:tc>
        <w:tc>
          <w:tcPr>
            <w:tcW w:w="1728" w:type="dxa"/>
            <w:shd w:val="clear" w:color="auto" w:fill="F2F4F7"/>
            <w:tcMar>
              <w:top w:w="100" w:type="dxa"/>
              <w:left w:w="150" w:type="dxa"/>
              <w:bottom w:w="100" w:type="dxa"/>
              <w:right w:w="150" w:type="dxa"/>
            </w:tcMar>
            <w:vAlign w:val="center"/>
          </w:tcPr>
          <w:p w14:paraId="0B969236" w14:textId="77777777" w:rsidR="00CC4463" w:rsidRDefault="00683C5D">
            <w:r>
              <w:rPr>
                <w:sz w:val="19"/>
              </w:rPr>
              <w:t>Retrospective pharmacovigilance</w:t>
            </w:r>
          </w:p>
        </w:tc>
        <w:tc>
          <w:tcPr>
            <w:tcW w:w="3024" w:type="dxa"/>
            <w:shd w:val="clear" w:color="auto" w:fill="F2F4F7"/>
            <w:tcMar>
              <w:top w:w="100" w:type="dxa"/>
              <w:left w:w="150" w:type="dxa"/>
              <w:bottom w:w="100" w:type="dxa"/>
              <w:right w:w="150" w:type="dxa"/>
            </w:tcMar>
            <w:vAlign w:val="center"/>
          </w:tcPr>
          <w:p w14:paraId="2A73CDC0" w14:textId="77777777" w:rsidR="00CC4463" w:rsidRDefault="00683C5D">
            <w:r>
              <w:rPr>
                <w:sz w:val="19"/>
              </w:rPr>
              <w:t>Different ADR profiles for oral vs subcutaneous routes</w:t>
            </w:r>
          </w:p>
        </w:tc>
      </w:tr>
      <w:tr w:rsidR="00CC4463" w14:paraId="42CB7E64" w14:textId="77777777">
        <w:trPr>
          <w:jc w:val="center"/>
        </w:trPr>
        <w:tc>
          <w:tcPr>
            <w:tcW w:w="1440" w:type="dxa"/>
            <w:shd w:val="clear" w:color="auto" w:fill="FFFFFF"/>
            <w:tcMar>
              <w:top w:w="100" w:type="dxa"/>
              <w:left w:w="150" w:type="dxa"/>
              <w:bottom w:w="100" w:type="dxa"/>
              <w:right w:w="150" w:type="dxa"/>
            </w:tcMar>
            <w:vAlign w:val="center"/>
          </w:tcPr>
          <w:p w14:paraId="6D0D0B6E" w14:textId="77777777" w:rsidR="00CC4463" w:rsidRDefault="00683C5D">
            <w:r>
              <w:rPr>
                <w:sz w:val="19"/>
              </w:rPr>
              <w:t>39502525</w:t>
            </w:r>
          </w:p>
        </w:tc>
        <w:tc>
          <w:tcPr>
            <w:tcW w:w="1872" w:type="dxa"/>
            <w:shd w:val="clear" w:color="auto" w:fill="FFFFFF"/>
            <w:tcMar>
              <w:top w:w="100" w:type="dxa"/>
              <w:left w:w="150" w:type="dxa"/>
              <w:bottom w:w="100" w:type="dxa"/>
              <w:right w:w="150" w:type="dxa"/>
            </w:tcMar>
            <w:vAlign w:val="center"/>
          </w:tcPr>
          <w:p w14:paraId="287C7133" w14:textId="77777777" w:rsidR="00CC4463" w:rsidRDefault="00683C5D">
            <w:r>
              <w:rPr>
                <w:sz w:val="19"/>
              </w:rPr>
              <w:t>Author (2024)</w:t>
            </w:r>
          </w:p>
        </w:tc>
        <w:tc>
          <w:tcPr>
            <w:tcW w:w="2016" w:type="dxa"/>
            <w:shd w:val="clear" w:color="auto" w:fill="FFFFFF"/>
            <w:tcMar>
              <w:top w:w="100" w:type="dxa"/>
              <w:left w:w="150" w:type="dxa"/>
              <w:bottom w:w="100" w:type="dxa"/>
              <w:right w:w="150" w:type="dxa"/>
            </w:tcMar>
            <w:vAlign w:val="center"/>
          </w:tcPr>
          <w:p w14:paraId="490F7D48" w14:textId="77777777" w:rsidR="00CC4463" w:rsidRDefault="00683C5D">
            <w:r>
              <w:rPr>
                <w:sz w:val="19"/>
              </w:rPr>
              <w:t>Frontiers in Pharmacology</w:t>
            </w:r>
          </w:p>
        </w:tc>
        <w:tc>
          <w:tcPr>
            <w:tcW w:w="1728" w:type="dxa"/>
            <w:shd w:val="clear" w:color="auto" w:fill="FFFFFF"/>
            <w:tcMar>
              <w:top w:w="100" w:type="dxa"/>
              <w:left w:w="150" w:type="dxa"/>
              <w:bottom w:w="100" w:type="dxa"/>
              <w:right w:w="150" w:type="dxa"/>
            </w:tcMar>
            <w:vAlign w:val="center"/>
          </w:tcPr>
          <w:p w14:paraId="7245FF21" w14:textId="77777777" w:rsidR="00CC4463" w:rsidRDefault="00683C5D">
            <w:r>
              <w:rPr>
                <w:sz w:val="19"/>
              </w:rPr>
              <w:t>Mixed-methods pharmacovigilance</w:t>
            </w:r>
          </w:p>
        </w:tc>
        <w:tc>
          <w:tcPr>
            <w:tcW w:w="3024" w:type="dxa"/>
            <w:shd w:val="clear" w:color="auto" w:fill="FFFFFF"/>
            <w:tcMar>
              <w:top w:w="100" w:type="dxa"/>
              <w:left w:w="150" w:type="dxa"/>
              <w:bottom w:w="100" w:type="dxa"/>
              <w:right w:w="150" w:type="dxa"/>
            </w:tcMar>
            <w:vAlign w:val="center"/>
          </w:tcPr>
          <w:p w14:paraId="02599C3D" w14:textId="77777777" w:rsidR="00CC4463" w:rsidRDefault="00683C5D">
            <w:r>
              <w:rPr>
                <w:sz w:val="19"/>
              </w:rPr>
              <w:t>Social media captures ADRs not in FAERS</w:t>
            </w:r>
          </w:p>
        </w:tc>
      </w:tr>
      <w:tr w:rsidR="00CC4463" w14:paraId="1F8C0EA3" w14:textId="77777777">
        <w:trPr>
          <w:jc w:val="center"/>
        </w:trPr>
        <w:tc>
          <w:tcPr>
            <w:tcW w:w="1440" w:type="dxa"/>
            <w:shd w:val="clear" w:color="auto" w:fill="F2F4F7"/>
            <w:tcMar>
              <w:top w:w="100" w:type="dxa"/>
              <w:left w:w="150" w:type="dxa"/>
              <w:bottom w:w="100" w:type="dxa"/>
              <w:right w:w="150" w:type="dxa"/>
            </w:tcMar>
            <w:vAlign w:val="center"/>
          </w:tcPr>
          <w:p w14:paraId="13BC9EF2" w14:textId="77777777" w:rsidR="00CC4463" w:rsidRDefault="00683C5D">
            <w:r>
              <w:rPr>
                <w:sz w:val="19"/>
              </w:rPr>
              <w:t>38943656</w:t>
            </w:r>
          </w:p>
        </w:tc>
        <w:tc>
          <w:tcPr>
            <w:tcW w:w="1872" w:type="dxa"/>
            <w:shd w:val="clear" w:color="auto" w:fill="F2F4F7"/>
            <w:tcMar>
              <w:top w:w="100" w:type="dxa"/>
              <w:left w:w="150" w:type="dxa"/>
              <w:bottom w:w="100" w:type="dxa"/>
              <w:right w:w="150" w:type="dxa"/>
            </w:tcMar>
            <w:vAlign w:val="center"/>
          </w:tcPr>
          <w:p w14:paraId="462A6183"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62EBAFE3" w14:textId="77777777" w:rsidR="00CC4463" w:rsidRDefault="00683C5D">
            <w:r>
              <w:rPr>
                <w:sz w:val="19"/>
              </w:rPr>
              <w:t>J Diabetes Investig</w:t>
            </w:r>
          </w:p>
        </w:tc>
        <w:tc>
          <w:tcPr>
            <w:tcW w:w="1728" w:type="dxa"/>
            <w:shd w:val="clear" w:color="auto" w:fill="F2F4F7"/>
            <w:tcMar>
              <w:top w:w="100" w:type="dxa"/>
              <w:left w:w="150" w:type="dxa"/>
              <w:bottom w:w="100" w:type="dxa"/>
              <w:right w:w="150" w:type="dxa"/>
            </w:tcMar>
            <w:vAlign w:val="center"/>
          </w:tcPr>
          <w:p w14:paraId="06C77461" w14:textId="77777777" w:rsidR="00CC4463" w:rsidRDefault="00683C5D">
            <w:r>
              <w:rPr>
                <w:sz w:val="19"/>
              </w:rPr>
              <w:t>Retrospective pharmacovigilance</w:t>
            </w:r>
          </w:p>
        </w:tc>
        <w:tc>
          <w:tcPr>
            <w:tcW w:w="3024" w:type="dxa"/>
            <w:shd w:val="clear" w:color="auto" w:fill="F2F4F7"/>
            <w:tcMar>
              <w:top w:w="100" w:type="dxa"/>
              <w:left w:w="150" w:type="dxa"/>
              <w:bottom w:w="100" w:type="dxa"/>
              <w:right w:w="150" w:type="dxa"/>
            </w:tcMar>
            <w:vAlign w:val="center"/>
          </w:tcPr>
          <w:p w14:paraId="2CC869B5" w14:textId="77777777" w:rsidR="00CC4463" w:rsidRDefault="00683C5D">
            <w:r>
              <w:rPr>
                <w:sz w:val="19"/>
              </w:rPr>
              <w:t>Multiple disproportionate signals across organ systems</w:t>
            </w:r>
          </w:p>
        </w:tc>
      </w:tr>
      <w:tr w:rsidR="00CC4463" w14:paraId="3611A431" w14:textId="77777777">
        <w:trPr>
          <w:jc w:val="center"/>
        </w:trPr>
        <w:tc>
          <w:tcPr>
            <w:tcW w:w="1440" w:type="dxa"/>
            <w:shd w:val="clear" w:color="auto" w:fill="FFFFFF"/>
            <w:tcMar>
              <w:top w:w="100" w:type="dxa"/>
              <w:left w:w="150" w:type="dxa"/>
              <w:bottom w:w="100" w:type="dxa"/>
              <w:right w:w="150" w:type="dxa"/>
            </w:tcMar>
            <w:vAlign w:val="center"/>
          </w:tcPr>
          <w:p w14:paraId="5B1A3A70" w14:textId="77777777" w:rsidR="00CC4463" w:rsidRDefault="00683C5D">
            <w:r>
              <w:rPr>
                <w:sz w:val="19"/>
              </w:rPr>
              <w:t>39922760</w:t>
            </w:r>
          </w:p>
        </w:tc>
        <w:tc>
          <w:tcPr>
            <w:tcW w:w="1872" w:type="dxa"/>
            <w:shd w:val="clear" w:color="auto" w:fill="FFFFFF"/>
            <w:tcMar>
              <w:top w:w="100" w:type="dxa"/>
              <w:left w:w="150" w:type="dxa"/>
              <w:bottom w:w="100" w:type="dxa"/>
              <w:right w:w="150" w:type="dxa"/>
            </w:tcMar>
            <w:vAlign w:val="center"/>
          </w:tcPr>
          <w:p w14:paraId="1840AF82" w14:textId="77777777" w:rsidR="00CC4463" w:rsidRDefault="00683C5D">
            <w:r>
              <w:rPr>
                <w:sz w:val="19"/>
              </w:rPr>
              <w:t>Author (2025)</w:t>
            </w:r>
          </w:p>
        </w:tc>
        <w:tc>
          <w:tcPr>
            <w:tcW w:w="2016" w:type="dxa"/>
            <w:shd w:val="clear" w:color="auto" w:fill="FFFFFF"/>
            <w:tcMar>
              <w:top w:w="100" w:type="dxa"/>
              <w:left w:w="150" w:type="dxa"/>
              <w:bottom w:w="100" w:type="dxa"/>
              <w:right w:w="150" w:type="dxa"/>
            </w:tcMar>
            <w:vAlign w:val="center"/>
          </w:tcPr>
          <w:p w14:paraId="0499D962" w14:textId="77777777" w:rsidR="00CC4463" w:rsidRDefault="00683C5D">
            <w:r>
              <w:rPr>
                <w:sz w:val="19"/>
              </w:rPr>
              <w:t>Obesity Res Clin Pract</w:t>
            </w:r>
          </w:p>
        </w:tc>
        <w:tc>
          <w:tcPr>
            <w:tcW w:w="1728" w:type="dxa"/>
            <w:shd w:val="clear" w:color="auto" w:fill="FFFFFF"/>
            <w:tcMar>
              <w:top w:w="100" w:type="dxa"/>
              <w:left w:w="150" w:type="dxa"/>
              <w:bottom w:w="100" w:type="dxa"/>
              <w:right w:w="150" w:type="dxa"/>
            </w:tcMar>
            <w:vAlign w:val="center"/>
          </w:tcPr>
          <w:p w14:paraId="1D353F33" w14:textId="77777777" w:rsidR="00CC4463" w:rsidRDefault="00683C5D">
            <w:r>
              <w:rPr>
                <w:sz w:val="19"/>
              </w:rPr>
              <w:t>Retrospective pharmacovigilance</w:t>
            </w:r>
          </w:p>
        </w:tc>
        <w:tc>
          <w:tcPr>
            <w:tcW w:w="3024" w:type="dxa"/>
            <w:shd w:val="clear" w:color="auto" w:fill="FFFFFF"/>
            <w:tcMar>
              <w:top w:w="100" w:type="dxa"/>
              <w:left w:w="150" w:type="dxa"/>
              <w:bottom w:w="100" w:type="dxa"/>
              <w:right w:w="150" w:type="dxa"/>
            </w:tcMar>
            <w:vAlign w:val="center"/>
          </w:tcPr>
          <w:p w14:paraId="1EC63CA7" w14:textId="77777777" w:rsidR="00CC4463" w:rsidRDefault="00683C5D">
            <w:r>
              <w:rPr>
                <w:sz w:val="19"/>
              </w:rPr>
              <w:t>Significant NAION signal</w:t>
            </w:r>
          </w:p>
        </w:tc>
      </w:tr>
      <w:tr w:rsidR="00CC4463" w14:paraId="29412FCD" w14:textId="77777777">
        <w:trPr>
          <w:jc w:val="center"/>
        </w:trPr>
        <w:tc>
          <w:tcPr>
            <w:tcW w:w="1440" w:type="dxa"/>
            <w:shd w:val="clear" w:color="auto" w:fill="F2F4F7"/>
            <w:tcMar>
              <w:top w:w="100" w:type="dxa"/>
              <w:left w:w="150" w:type="dxa"/>
              <w:bottom w:w="100" w:type="dxa"/>
              <w:right w:w="150" w:type="dxa"/>
            </w:tcMar>
            <w:vAlign w:val="center"/>
          </w:tcPr>
          <w:p w14:paraId="5DD4B741" w14:textId="77777777" w:rsidR="00CC4463" w:rsidRDefault="00683C5D">
            <w:r>
              <w:rPr>
                <w:sz w:val="19"/>
              </w:rPr>
              <w:t>39221363</w:t>
            </w:r>
          </w:p>
        </w:tc>
        <w:tc>
          <w:tcPr>
            <w:tcW w:w="1872" w:type="dxa"/>
            <w:shd w:val="clear" w:color="auto" w:fill="F2F4F7"/>
            <w:tcMar>
              <w:top w:w="100" w:type="dxa"/>
              <w:left w:w="150" w:type="dxa"/>
              <w:bottom w:w="100" w:type="dxa"/>
              <w:right w:w="150" w:type="dxa"/>
            </w:tcMar>
            <w:vAlign w:val="center"/>
          </w:tcPr>
          <w:p w14:paraId="44870F15"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0C5A63A3" w14:textId="77777777" w:rsidR="00CC4463" w:rsidRDefault="00683C5D">
            <w:r>
              <w:rPr>
                <w:sz w:val="19"/>
              </w:rPr>
              <w:t>Cureus</w:t>
            </w:r>
          </w:p>
        </w:tc>
        <w:tc>
          <w:tcPr>
            <w:tcW w:w="1728" w:type="dxa"/>
            <w:shd w:val="clear" w:color="auto" w:fill="F2F4F7"/>
            <w:tcMar>
              <w:top w:w="100" w:type="dxa"/>
              <w:left w:w="150" w:type="dxa"/>
              <w:bottom w:w="100" w:type="dxa"/>
              <w:right w:w="150" w:type="dxa"/>
            </w:tcMar>
            <w:vAlign w:val="center"/>
          </w:tcPr>
          <w:p w14:paraId="02AD10E0" w14:textId="77777777" w:rsidR="00CC4463" w:rsidRDefault="00683C5D">
            <w:r>
              <w:rPr>
                <w:sz w:val="19"/>
              </w:rPr>
              <w:t>Retrospective pharmacovigilance</w:t>
            </w:r>
          </w:p>
        </w:tc>
        <w:tc>
          <w:tcPr>
            <w:tcW w:w="3024" w:type="dxa"/>
            <w:shd w:val="clear" w:color="auto" w:fill="F2F4F7"/>
            <w:tcMar>
              <w:top w:w="100" w:type="dxa"/>
              <w:left w:w="150" w:type="dxa"/>
              <w:bottom w:w="100" w:type="dxa"/>
              <w:right w:w="150" w:type="dxa"/>
            </w:tcMar>
            <w:vAlign w:val="center"/>
          </w:tcPr>
          <w:p w14:paraId="446D1EBE" w14:textId="77777777" w:rsidR="00CC4463" w:rsidRDefault="00683C5D">
            <w:r>
              <w:rPr>
                <w:sz w:val="19"/>
              </w:rPr>
              <w:t>Patterns of serious adverse events</w:t>
            </w:r>
          </w:p>
        </w:tc>
      </w:tr>
      <w:tr w:rsidR="00CC4463" w14:paraId="017BD9B6" w14:textId="77777777">
        <w:trPr>
          <w:jc w:val="center"/>
        </w:trPr>
        <w:tc>
          <w:tcPr>
            <w:tcW w:w="1440" w:type="dxa"/>
            <w:shd w:val="clear" w:color="auto" w:fill="FFFFFF"/>
            <w:tcMar>
              <w:top w:w="100" w:type="dxa"/>
              <w:left w:w="150" w:type="dxa"/>
              <w:bottom w:w="100" w:type="dxa"/>
              <w:right w:w="150" w:type="dxa"/>
            </w:tcMar>
            <w:vAlign w:val="center"/>
          </w:tcPr>
          <w:p w14:paraId="44D38E9C" w14:textId="77777777" w:rsidR="00CC4463" w:rsidRDefault="00683C5D">
            <w:r>
              <w:rPr>
                <w:sz w:val="19"/>
              </w:rPr>
              <w:t>40523410</w:t>
            </w:r>
          </w:p>
        </w:tc>
        <w:tc>
          <w:tcPr>
            <w:tcW w:w="1872" w:type="dxa"/>
            <w:shd w:val="clear" w:color="auto" w:fill="FFFFFF"/>
            <w:tcMar>
              <w:top w:w="100" w:type="dxa"/>
              <w:left w:w="150" w:type="dxa"/>
              <w:bottom w:w="100" w:type="dxa"/>
              <w:right w:w="150" w:type="dxa"/>
            </w:tcMar>
            <w:vAlign w:val="center"/>
          </w:tcPr>
          <w:p w14:paraId="0312C6ED" w14:textId="77777777" w:rsidR="00CC4463" w:rsidRDefault="00683C5D">
            <w:r>
              <w:rPr>
                <w:sz w:val="19"/>
              </w:rPr>
              <w:t>Author (2025)</w:t>
            </w:r>
          </w:p>
        </w:tc>
        <w:tc>
          <w:tcPr>
            <w:tcW w:w="2016" w:type="dxa"/>
            <w:shd w:val="clear" w:color="auto" w:fill="FFFFFF"/>
            <w:tcMar>
              <w:top w:w="100" w:type="dxa"/>
              <w:left w:w="150" w:type="dxa"/>
              <w:bottom w:w="100" w:type="dxa"/>
              <w:right w:w="150" w:type="dxa"/>
            </w:tcMar>
            <w:vAlign w:val="center"/>
          </w:tcPr>
          <w:p w14:paraId="026613D2" w14:textId="77777777" w:rsidR="00CC4463" w:rsidRDefault="00683C5D">
            <w:r>
              <w:rPr>
                <w:sz w:val="19"/>
              </w:rPr>
              <w:t>J Affect Disord</w:t>
            </w:r>
          </w:p>
        </w:tc>
        <w:tc>
          <w:tcPr>
            <w:tcW w:w="1728" w:type="dxa"/>
            <w:shd w:val="clear" w:color="auto" w:fill="FFFFFF"/>
            <w:tcMar>
              <w:top w:w="100" w:type="dxa"/>
              <w:left w:w="150" w:type="dxa"/>
              <w:bottom w:w="100" w:type="dxa"/>
              <w:right w:w="150" w:type="dxa"/>
            </w:tcMar>
            <w:vAlign w:val="center"/>
          </w:tcPr>
          <w:p w14:paraId="211308BB" w14:textId="77777777" w:rsidR="00CC4463" w:rsidRDefault="00683C5D">
            <w:r>
              <w:rPr>
                <w:sz w:val="19"/>
              </w:rPr>
              <w:t>Retrospective pharmacovigilance</w:t>
            </w:r>
          </w:p>
        </w:tc>
        <w:tc>
          <w:tcPr>
            <w:tcW w:w="3024" w:type="dxa"/>
            <w:shd w:val="clear" w:color="auto" w:fill="FFFFFF"/>
            <w:tcMar>
              <w:top w:w="100" w:type="dxa"/>
              <w:left w:w="150" w:type="dxa"/>
              <w:bottom w:w="100" w:type="dxa"/>
              <w:right w:w="150" w:type="dxa"/>
            </w:tcMar>
            <w:vAlign w:val="center"/>
          </w:tcPr>
          <w:p w14:paraId="7242A333" w14:textId="77777777" w:rsidR="00CC4463" w:rsidRDefault="00683C5D">
            <w:r>
              <w:rPr>
                <w:sz w:val="19"/>
              </w:rPr>
              <w:t>Depression and suicidality signals identified</w:t>
            </w:r>
          </w:p>
        </w:tc>
      </w:tr>
      <w:tr w:rsidR="00CC4463" w14:paraId="15CF7569" w14:textId="77777777">
        <w:trPr>
          <w:jc w:val="center"/>
        </w:trPr>
        <w:tc>
          <w:tcPr>
            <w:tcW w:w="1440" w:type="dxa"/>
            <w:shd w:val="clear" w:color="auto" w:fill="F2F4F7"/>
            <w:tcMar>
              <w:top w:w="100" w:type="dxa"/>
              <w:left w:w="150" w:type="dxa"/>
              <w:bottom w:w="100" w:type="dxa"/>
              <w:right w:w="150" w:type="dxa"/>
            </w:tcMar>
            <w:vAlign w:val="center"/>
          </w:tcPr>
          <w:p w14:paraId="075BCA1A" w14:textId="77777777" w:rsidR="00CC4463" w:rsidRDefault="00683C5D">
            <w:r>
              <w:rPr>
                <w:sz w:val="19"/>
              </w:rPr>
              <w:t>38713347</w:t>
            </w:r>
          </w:p>
        </w:tc>
        <w:tc>
          <w:tcPr>
            <w:tcW w:w="1872" w:type="dxa"/>
            <w:shd w:val="clear" w:color="auto" w:fill="F2F4F7"/>
            <w:tcMar>
              <w:top w:w="100" w:type="dxa"/>
              <w:left w:w="150" w:type="dxa"/>
              <w:bottom w:w="100" w:type="dxa"/>
              <w:right w:w="150" w:type="dxa"/>
            </w:tcMar>
            <w:vAlign w:val="center"/>
          </w:tcPr>
          <w:p w14:paraId="6764F6A6"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27573448" w14:textId="77777777" w:rsidR="00CC4463" w:rsidRDefault="00683C5D">
            <w:r>
              <w:rPr>
                <w:sz w:val="19"/>
              </w:rPr>
              <w:t>Drug Safety</w:t>
            </w:r>
          </w:p>
        </w:tc>
        <w:tc>
          <w:tcPr>
            <w:tcW w:w="1728" w:type="dxa"/>
            <w:shd w:val="clear" w:color="auto" w:fill="F2F4F7"/>
            <w:tcMar>
              <w:top w:w="100" w:type="dxa"/>
              <w:left w:w="150" w:type="dxa"/>
              <w:bottom w:w="100" w:type="dxa"/>
              <w:right w:w="150" w:type="dxa"/>
            </w:tcMar>
            <w:vAlign w:val="center"/>
          </w:tcPr>
          <w:p w14:paraId="577D7496" w14:textId="77777777" w:rsidR="00CC4463" w:rsidRDefault="00683C5D">
            <w:r>
              <w:rPr>
                <w:sz w:val="19"/>
              </w:rPr>
              <w:t>Methodological guideline</w:t>
            </w:r>
          </w:p>
        </w:tc>
        <w:tc>
          <w:tcPr>
            <w:tcW w:w="3024" w:type="dxa"/>
            <w:shd w:val="clear" w:color="auto" w:fill="F2F4F7"/>
            <w:tcMar>
              <w:top w:w="100" w:type="dxa"/>
              <w:left w:w="150" w:type="dxa"/>
              <w:bottom w:w="100" w:type="dxa"/>
              <w:right w:w="150" w:type="dxa"/>
            </w:tcMar>
            <w:vAlign w:val="center"/>
          </w:tcPr>
          <w:p w14:paraId="02EE94CF" w14:textId="77777777" w:rsidR="00CC4463" w:rsidRDefault="00683C5D">
            <w:r>
              <w:rPr>
                <w:sz w:val="19"/>
              </w:rPr>
              <w:t>14-item reporting checklist for disproportionality analyses</w:t>
            </w:r>
          </w:p>
        </w:tc>
      </w:tr>
      <w:tr w:rsidR="00CC4463" w14:paraId="544C1C4F" w14:textId="77777777">
        <w:trPr>
          <w:jc w:val="center"/>
        </w:trPr>
        <w:tc>
          <w:tcPr>
            <w:tcW w:w="1440" w:type="dxa"/>
            <w:shd w:val="clear" w:color="auto" w:fill="FFFFFF"/>
            <w:tcMar>
              <w:top w:w="100" w:type="dxa"/>
              <w:left w:w="150" w:type="dxa"/>
              <w:bottom w:w="100" w:type="dxa"/>
              <w:right w:w="150" w:type="dxa"/>
            </w:tcMar>
            <w:vAlign w:val="center"/>
          </w:tcPr>
          <w:p w14:paraId="52D7F711" w14:textId="77777777" w:rsidR="00CC4463" w:rsidRDefault="00683C5D">
            <w:r>
              <w:rPr>
                <w:sz w:val="19"/>
              </w:rPr>
              <w:t>33567185</w:t>
            </w:r>
          </w:p>
        </w:tc>
        <w:tc>
          <w:tcPr>
            <w:tcW w:w="1872" w:type="dxa"/>
            <w:shd w:val="clear" w:color="auto" w:fill="FFFFFF"/>
            <w:tcMar>
              <w:top w:w="100" w:type="dxa"/>
              <w:left w:w="150" w:type="dxa"/>
              <w:bottom w:w="100" w:type="dxa"/>
              <w:right w:w="150" w:type="dxa"/>
            </w:tcMar>
            <w:vAlign w:val="center"/>
          </w:tcPr>
          <w:p w14:paraId="422E2151" w14:textId="77777777" w:rsidR="00CC4463" w:rsidRDefault="00683C5D">
            <w:r>
              <w:rPr>
                <w:sz w:val="19"/>
              </w:rPr>
              <w:t>Wilding et al. (2021)</w:t>
            </w:r>
          </w:p>
        </w:tc>
        <w:tc>
          <w:tcPr>
            <w:tcW w:w="2016" w:type="dxa"/>
            <w:shd w:val="clear" w:color="auto" w:fill="FFFFFF"/>
            <w:tcMar>
              <w:top w:w="100" w:type="dxa"/>
              <w:left w:w="150" w:type="dxa"/>
              <w:bottom w:w="100" w:type="dxa"/>
              <w:right w:w="150" w:type="dxa"/>
            </w:tcMar>
            <w:vAlign w:val="center"/>
          </w:tcPr>
          <w:p w14:paraId="7EC0E79B" w14:textId="77777777" w:rsidR="00CC4463" w:rsidRDefault="00683C5D">
            <w:r>
              <w:rPr>
                <w:sz w:val="19"/>
              </w:rPr>
              <w:t>NEJM</w:t>
            </w:r>
          </w:p>
        </w:tc>
        <w:tc>
          <w:tcPr>
            <w:tcW w:w="1728" w:type="dxa"/>
            <w:shd w:val="clear" w:color="auto" w:fill="FFFFFF"/>
            <w:tcMar>
              <w:top w:w="100" w:type="dxa"/>
              <w:left w:w="150" w:type="dxa"/>
              <w:bottom w:w="100" w:type="dxa"/>
              <w:right w:w="150" w:type="dxa"/>
            </w:tcMar>
            <w:vAlign w:val="center"/>
          </w:tcPr>
          <w:p w14:paraId="49821494" w14:textId="77777777" w:rsidR="00CC4463" w:rsidRDefault="00683C5D">
            <w:r>
              <w:rPr>
                <w:sz w:val="19"/>
              </w:rPr>
              <w:t>RCT Phase 3</w:t>
            </w:r>
          </w:p>
        </w:tc>
        <w:tc>
          <w:tcPr>
            <w:tcW w:w="3024" w:type="dxa"/>
            <w:shd w:val="clear" w:color="auto" w:fill="FFFFFF"/>
            <w:tcMar>
              <w:top w:w="100" w:type="dxa"/>
              <w:left w:w="150" w:type="dxa"/>
              <w:bottom w:w="100" w:type="dxa"/>
              <w:right w:w="150" w:type="dxa"/>
            </w:tcMar>
            <w:vAlign w:val="center"/>
          </w:tcPr>
          <w:p w14:paraId="1E5C4191" w14:textId="77777777" w:rsidR="00CC4463" w:rsidRDefault="00683C5D">
            <w:r>
              <w:rPr>
                <w:sz w:val="19"/>
              </w:rPr>
              <w:t>14.9% weight reduction, GI adverse events</w:t>
            </w:r>
          </w:p>
        </w:tc>
      </w:tr>
      <w:tr w:rsidR="00CC4463" w14:paraId="2922B26D" w14:textId="77777777">
        <w:trPr>
          <w:jc w:val="center"/>
        </w:trPr>
        <w:tc>
          <w:tcPr>
            <w:tcW w:w="1440" w:type="dxa"/>
            <w:shd w:val="clear" w:color="auto" w:fill="F2F4F7"/>
            <w:tcMar>
              <w:top w:w="100" w:type="dxa"/>
              <w:left w:w="150" w:type="dxa"/>
              <w:bottom w:w="100" w:type="dxa"/>
              <w:right w:w="150" w:type="dxa"/>
            </w:tcMar>
            <w:vAlign w:val="center"/>
          </w:tcPr>
          <w:p w14:paraId="06E6EB3A" w14:textId="77777777" w:rsidR="00CC4463" w:rsidRDefault="00683C5D">
            <w:r>
              <w:rPr>
                <w:sz w:val="19"/>
              </w:rPr>
              <w:t>39163046</w:t>
            </w:r>
          </w:p>
        </w:tc>
        <w:tc>
          <w:tcPr>
            <w:tcW w:w="1872" w:type="dxa"/>
            <w:shd w:val="clear" w:color="auto" w:fill="F2F4F7"/>
            <w:tcMar>
              <w:top w:w="100" w:type="dxa"/>
              <w:left w:w="150" w:type="dxa"/>
              <w:bottom w:w="100" w:type="dxa"/>
              <w:right w:w="150" w:type="dxa"/>
            </w:tcMar>
            <w:vAlign w:val="center"/>
          </w:tcPr>
          <w:p w14:paraId="63DAD274"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5CC8A9CB" w14:textId="77777777" w:rsidR="00CC4463" w:rsidRDefault="00683C5D">
            <w:r>
              <w:rPr>
                <w:sz w:val="19"/>
              </w:rPr>
              <w:t>JAMA Network Open</w:t>
            </w:r>
          </w:p>
        </w:tc>
        <w:tc>
          <w:tcPr>
            <w:tcW w:w="1728" w:type="dxa"/>
            <w:shd w:val="clear" w:color="auto" w:fill="F2F4F7"/>
            <w:tcMar>
              <w:top w:w="100" w:type="dxa"/>
              <w:left w:w="150" w:type="dxa"/>
              <w:bottom w:w="100" w:type="dxa"/>
              <w:right w:w="150" w:type="dxa"/>
            </w:tcMar>
            <w:vAlign w:val="center"/>
          </w:tcPr>
          <w:p w14:paraId="1926C20A" w14:textId="77777777" w:rsidR="00CC4463" w:rsidRDefault="00683C5D">
            <w:r>
              <w:rPr>
                <w:sz w:val="19"/>
              </w:rPr>
              <w:t>Retrospective pharmacovigilance (WHO)</w:t>
            </w:r>
          </w:p>
        </w:tc>
        <w:tc>
          <w:tcPr>
            <w:tcW w:w="3024" w:type="dxa"/>
            <w:shd w:val="clear" w:color="auto" w:fill="F2F4F7"/>
            <w:tcMar>
              <w:top w:w="100" w:type="dxa"/>
              <w:left w:w="150" w:type="dxa"/>
              <w:bottom w:w="100" w:type="dxa"/>
              <w:right w:w="150" w:type="dxa"/>
            </w:tcMar>
            <w:vAlign w:val="center"/>
          </w:tcPr>
          <w:p w14:paraId="7EEEC5AE" w14:textId="77777777" w:rsidR="00CC4463" w:rsidRDefault="00683C5D">
            <w:r>
              <w:rPr>
                <w:sz w:val="19"/>
              </w:rPr>
              <w:t>Suicidal ideation signal with antidepressant co-prescription</w:t>
            </w:r>
          </w:p>
        </w:tc>
      </w:tr>
      <w:tr w:rsidR="00CC4463" w14:paraId="201B630F" w14:textId="77777777">
        <w:trPr>
          <w:jc w:val="center"/>
        </w:trPr>
        <w:tc>
          <w:tcPr>
            <w:tcW w:w="1440" w:type="dxa"/>
            <w:shd w:val="clear" w:color="auto" w:fill="FFFFFF"/>
            <w:tcMar>
              <w:top w:w="100" w:type="dxa"/>
              <w:left w:w="150" w:type="dxa"/>
              <w:bottom w:w="100" w:type="dxa"/>
              <w:right w:w="150" w:type="dxa"/>
            </w:tcMar>
            <w:vAlign w:val="center"/>
          </w:tcPr>
          <w:p w14:paraId="3323D026" w14:textId="77777777" w:rsidR="00CC4463" w:rsidRDefault="00683C5D">
            <w:r>
              <w:rPr>
                <w:sz w:val="19"/>
              </w:rPr>
              <w:t>38087976</w:t>
            </w:r>
          </w:p>
        </w:tc>
        <w:tc>
          <w:tcPr>
            <w:tcW w:w="1872" w:type="dxa"/>
            <w:shd w:val="clear" w:color="auto" w:fill="FFFFFF"/>
            <w:tcMar>
              <w:top w:w="100" w:type="dxa"/>
              <w:left w:w="150" w:type="dxa"/>
              <w:bottom w:w="100" w:type="dxa"/>
              <w:right w:w="150" w:type="dxa"/>
            </w:tcMar>
            <w:vAlign w:val="center"/>
          </w:tcPr>
          <w:p w14:paraId="7FF4FF64" w14:textId="77777777" w:rsidR="00CC4463" w:rsidRDefault="00683C5D">
            <w:r>
              <w:rPr>
                <w:sz w:val="19"/>
              </w:rPr>
              <w:t>Author (2024)</w:t>
            </w:r>
          </w:p>
        </w:tc>
        <w:tc>
          <w:tcPr>
            <w:tcW w:w="2016" w:type="dxa"/>
            <w:shd w:val="clear" w:color="auto" w:fill="FFFFFF"/>
            <w:tcMar>
              <w:top w:w="100" w:type="dxa"/>
              <w:left w:w="150" w:type="dxa"/>
              <w:bottom w:w="100" w:type="dxa"/>
              <w:right w:w="150" w:type="dxa"/>
            </w:tcMar>
            <w:vAlign w:val="center"/>
          </w:tcPr>
          <w:p w14:paraId="74F6AB5E" w14:textId="77777777" w:rsidR="00CC4463" w:rsidRDefault="00683C5D">
            <w:r>
              <w:rPr>
                <w:sz w:val="19"/>
              </w:rPr>
              <w:t>Expert Opin Drug Saf</w:t>
            </w:r>
          </w:p>
        </w:tc>
        <w:tc>
          <w:tcPr>
            <w:tcW w:w="1728" w:type="dxa"/>
            <w:shd w:val="clear" w:color="auto" w:fill="FFFFFF"/>
            <w:tcMar>
              <w:top w:w="100" w:type="dxa"/>
              <w:left w:w="150" w:type="dxa"/>
              <w:bottom w:w="100" w:type="dxa"/>
              <w:right w:w="150" w:type="dxa"/>
            </w:tcMar>
            <w:vAlign w:val="center"/>
          </w:tcPr>
          <w:p w14:paraId="361921B8" w14:textId="77777777" w:rsidR="00CC4463" w:rsidRDefault="00683C5D">
            <w:r>
              <w:rPr>
                <w:sz w:val="19"/>
              </w:rPr>
              <w:t>Retrospective pharmacovigilance</w:t>
            </w:r>
          </w:p>
        </w:tc>
        <w:tc>
          <w:tcPr>
            <w:tcW w:w="3024" w:type="dxa"/>
            <w:shd w:val="clear" w:color="auto" w:fill="FFFFFF"/>
            <w:tcMar>
              <w:top w:w="100" w:type="dxa"/>
              <w:left w:w="150" w:type="dxa"/>
              <w:bottom w:w="100" w:type="dxa"/>
              <w:right w:w="150" w:type="dxa"/>
            </w:tcMar>
            <w:vAlign w:val="center"/>
          </w:tcPr>
          <w:p w14:paraId="7D2F7152" w14:textId="77777777" w:rsidR="00CC4463" w:rsidRDefault="00683C5D">
            <w:r>
              <w:rPr>
                <w:sz w:val="19"/>
              </w:rPr>
              <w:t>Disproportionate reporting but no causal link (Bradford Hill)</w:t>
            </w:r>
          </w:p>
        </w:tc>
      </w:tr>
      <w:tr w:rsidR="00CC4463" w14:paraId="7576354F" w14:textId="77777777">
        <w:trPr>
          <w:jc w:val="center"/>
        </w:trPr>
        <w:tc>
          <w:tcPr>
            <w:tcW w:w="1440" w:type="dxa"/>
            <w:shd w:val="clear" w:color="auto" w:fill="F2F4F7"/>
            <w:tcMar>
              <w:top w:w="100" w:type="dxa"/>
              <w:left w:w="150" w:type="dxa"/>
              <w:bottom w:w="100" w:type="dxa"/>
              <w:right w:w="150" w:type="dxa"/>
            </w:tcMar>
            <w:vAlign w:val="center"/>
          </w:tcPr>
          <w:p w14:paraId="55B3EB1F" w14:textId="77777777" w:rsidR="00CC4463" w:rsidRDefault="00683C5D">
            <w:r>
              <w:rPr>
                <w:sz w:val="19"/>
              </w:rPr>
              <w:t>38182782</w:t>
            </w:r>
          </w:p>
        </w:tc>
        <w:tc>
          <w:tcPr>
            <w:tcW w:w="1872" w:type="dxa"/>
            <w:shd w:val="clear" w:color="auto" w:fill="F2F4F7"/>
            <w:tcMar>
              <w:top w:w="100" w:type="dxa"/>
              <w:left w:w="150" w:type="dxa"/>
              <w:bottom w:w="100" w:type="dxa"/>
              <w:right w:w="150" w:type="dxa"/>
            </w:tcMar>
            <w:vAlign w:val="center"/>
          </w:tcPr>
          <w:p w14:paraId="724FF8B3"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0104CF36" w14:textId="77777777" w:rsidR="00CC4463" w:rsidRDefault="00683C5D">
            <w:r>
              <w:rPr>
                <w:sz w:val="19"/>
              </w:rPr>
              <w:t>Nature Medicine</w:t>
            </w:r>
          </w:p>
        </w:tc>
        <w:tc>
          <w:tcPr>
            <w:tcW w:w="1728" w:type="dxa"/>
            <w:shd w:val="clear" w:color="auto" w:fill="F2F4F7"/>
            <w:tcMar>
              <w:top w:w="100" w:type="dxa"/>
              <w:left w:w="150" w:type="dxa"/>
              <w:bottom w:w="100" w:type="dxa"/>
              <w:right w:w="150" w:type="dxa"/>
            </w:tcMar>
            <w:vAlign w:val="center"/>
          </w:tcPr>
          <w:p w14:paraId="308DF88D" w14:textId="77777777" w:rsidR="00CC4463" w:rsidRDefault="00683C5D">
            <w:r>
              <w:rPr>
                <w:sz w:val="19"/>
              </w:rPr>
              <w:t>Retrospective cohort</w:t>
            </w:r>
          </w:p>
        </w:tc>
        <w:tc>
          <w:tcPr>
            <w:tcW w:w="3024" w:type="dxa"/>
            <w:shd w:val="clear" w:color="auto" w:fill="F2F4F7"/>
            <w:tcMar>
              <w:top w:w="100" w:type="dxa"/>
              <w:left w:w="150" w:type="dxa"/>
              <w:bottom w:w="100" w:type="dxa"/>
              <w:right w:w="150" w:type="dxa"/>
            </w:tcMar>
            <w:vAlign w:val="center"/>
          </w:tcPr>
          <w:p w14:paraId="5184F9F6" w14:textId="77777777" w:rsidR="00CC4463" w:rsidRDefault="00683C5D">
            <w:r>
              <w:rPr>
                <w:sz w:val="19"/>
              </w:rPr>
              <w:t>LOWER risk (contradicts FAERS)</w:t>
            </w:r>
          </w:p>
        </w:tc>
      </w:tr>
      <w:tr w:rsidR="00CC4463" w14:paraId="779F6C60" w14:textId="77777777">
        <w:trPr>
          <w:jc w:val="center"/>
        </w:trPr>
        <w:tc>
          <w:tcPr>
            <w:tcW w:w="1440" w:type="dxa"/>
            <w:shd w:val="clear" w:color="auto" w:fill="FFFFFF"/>
            <w:tcMar>
              <w:top w:w="100" w:type="dxa"/>
              <w:left w:w="150" w:type="dxa"/>
              <w:bottom w:w="100" w:type="dxa"/>
              <w:right w:w="150" w:type="dxa"/>
            </w:tcMar>
            <w:vAlign w:val="center"/>
          </w:tcPr>
          <w:p w14:paraId="52E7FF40" w14:textId="77777777" w:rsidR="00CC4463" w:rsidRDefault="00683C5D">
            <w:r>
              <w:rPr>
                <w:sz w:val="19"/>
              </w:rPr>
              <w:t>39767190</w:t>
            </w:r>
          </w:p>
        </w:tc>
        <w:tc>
          <w:tcPr>
            <w:tcW w:w="1872" w:type="dxa"/>
            <w:shd w:val="clear" w:color="auto" w:fill="FFFFFF"/>
            <w:tcMar>
              <w:top w:w="100" w:type="dxa"/>
              <w:left w:w="150" w:type="dxa"/>
              <w:bottom w:w="100" w:type="dxa"/>
              <w:right w:w="150" w:type="dxa"/>
            </w:tcMar>
            <w:vAlign w:val="center"/>
          </w:tcPr>
          <w:p w14:paraId="2938154A" w14:textId="77777777" w:rsidR="00CC4463" w:rsidRDefault="00683C5D">
            <w:r>
              <w:rPr>
                <w:sz w:val="19"/>
              </w:rPr>
              <w:t>Author (2024)</w:t>
            </w:r>
          </w:p>
        </w:tc>
        <w:tc>
          <w:tcPr>
            <w:tcW w:w="2016" w:type="dxa"/>
            <w:shd w:val="clear" w:color="auto" w:fill="FFFFFF"/>
            <w:tcMar>
              <w:top w:w="100" w:type="dxa"/>
              <w:left w:w="150" w:type="dxa"/>
              <w:bottom w:w="100" w:type="dxa"/>
              <w:right w:w="150" w:type="dxa"/>
            </w:tcMar>
            <w:vAlign w:val="center"/>
          </w:tcPr>
          <w:p w14:paraId="679585F5" w14:textId="77777777" w:rsidR="00CC4463" w:rsidRDefault="00683C5D">
            <w:r>
              <w:rPr>
                <w:sz w:val="19"/>
              </w:rPr>
              <w:t>Diagnostics</w:t>
            </w:r>
          </w:p>
        </w:tc>
        <w:tc>
          <w:tcPr>
            <w:tcW w:w="1728" w:type="dxa"/>
            <w:shd w:val="clear" w:color="auto" w:fill="FFFFFF"/>
            <w:tcMar>
              <w:top w:w="100" w:type="dxa"/>
              <w:left w:w="150" w:type="dxa"/>
              <w:bottom w:w="100" w:type="dxa"/>
              <w:right w:w="150" w:type="dxa"/>
            </w:tcMar>
            <w:vAlign w:val="center"/>
          </w:tcPr>
          <w:p w14:paraId="6E40EC2E" w14:textId="77777777" w:rsidR="00CC4463" w:rsidRDefault="00683C5D">
            <w:r>
              <w:rPr>
                <w:sz w:val="19"/>
              </w:rPr>
              <w:t>Retrospective pharmacovigilance</w:t>
            </w:r>
          </w:p>
        </w:tc>
        <w:tc>
          <w:tcPr>
            <w:tcW w:w="3024" w:type="dxa"/>
            <w:shd w:val="clear" w:color="auto" w:fill="FFFFFF"/>
            <w:tcMar>
              <w:top w:w="100" w:type="dxa"/>
              <w:left w:w="150" w:type="dxa"/>
              <w:bottom w:w="100" w:type="dxa"/>
              <w:right w:w="150" w:type="dxa"/>
            </w:tcMar>
            <w:vAlign w:val="center"/>
          </w:tcPr>
          <w:p w14:paraId="4BB19B4B" w14:textId="77777777" w:rsidR="00CC4463" w:rsidRDefault="00683C5D">
            <w:r>
              <w:rPr>
                <w:sz w:val="19"/>
              </w:rPr>
              <w:t>Strong GI ADR association</w:t>
            </w:r>
          </w:p>
        </w:tc>
      </w:tr>
      <w:tr w:rsidR="00CC4463" w14:paraId="5ED77BFA" w14:textId="77777777">
        <w:trPr>
          <w:jc w:val="center"/>
        </w:trPr>
        <w:tc>
          <w:tcPr>
            <w:tcW w:w="1440" w:type="dxa"/>
            <w:shd w:val="clear" w:color="auto" w:fill="F2F4F7"/>
            <w:tcMar>
              <w:top w:w="100" w:type="dxa"/>
              <w:left w:w="150" w:type="dxa"/>
              <w:bottom w:w="100" w:type="dxa"/>
              <w:right w:w="150" w:type="dxa"/>
            </w:tcMar>
            <w:vAlign w:val="center"/>
          </w:tcPr>
          <w:p w14:paraId="3A0DA0CD" w14:textId="77777777" w:rsidR="00CC4463" w:rsidRDefault="00683C5D">
            <w:r>
              <w:rPr>
                <w:sz w:val="19"/>
              </w:rPr>
              <w:t>39267168</w:t>
            </w:r>
          </w:p>
        </w:tc>
        <w:tc>
          <w:tcPr>
            <w:tcW w:w="1872" w:type="dxa"/>
            <w:shd w:val="clear" w:color="auto" w:fill="F2F4F7"/>
            <w:tcMar>
              <w:top w:w="100" w:type="dxa"/>
              <w:left w:w="150" w:type="dxa"/>
              <w:bottom w:w="100" w:type="dxa"/>
              <w:right w:w="150" w:type="dxa"/>
            </w:tcMar>
            <w:vAlign w:val="center"/>
          </w:tcPr>
          <w:p w14:paraId="37DEB11D" w14:textId="77777777" w:rsidR="00CC4463" w:rsidRDefault="00683C5D">
            <w:r>
              <w:rPr>
                <w:sz w:val="19"/>
              </w:rPr>
              <w:t>Author (2024)</w:t>
            </w:r>
          </w:p>
        </w:tc>
        <w:tc>
          <w:tcPr>
            <w:tcW w:w="2016" w:type="dxa"/>
            <w:shd w:val="clear" w:color="auto" w:fill="F2F4F7"/>
            <w:tcMar>
              <w:top w:w="100" w:type="dxa"/>
              <w:left w:w="150" w:type="dxa"/>
              <w:bottom w:w="100" w:type="dxa"/>
              <w:right w:w="150" w:type="dxa"/>
            </w:tcMar>
            <w:vAlign w:val="center"/>
          </w:tcPr>
          <w:p w14:paraId="753D7ACD" w14:textId="77777777" w:rsidR="00CC4463" w:rsidRDefault="00683C5D">
            <w:r>
              <w:rPr>
                <w:sz w:val="19"/>
              </w:rPr>
              <w:t>BMC Pharmacol Toxicol</w:t>
            </w:r>
          </w:p>
        </w:tc>
        <w:tc>
          <w:tcPr>
            <w:tcW w:w="1728" w:type="dxa"/>
            <w:shd w:val="clear" w:color="auto" w:fill="F2F4F7"/>
            <w:tcMar>
              <w:top w:w="100" w:type="dxa"/>
              <w:left w:w="150" w:type="dxa"/>
              <w:bottom w:w="100" w:type="dxa"/>
              <w:right w:w="150" w:type="dxa"/>
            </w:tcMar>
            <w:vAlign w:val="center"/>
          </w:tcPr>
          <w:p w14:paraId="529CFF6F" w14:textId="77777777" w:rsidR="00CC4463" w:rsidRDefault="00683C5D">
            <w:r>
              <w:rPr>
                <w:sz w:val="19"/>
              </w:rPr>
              <w:t>Retrospective pharmacovigilance</w:t>
            </w:r>
          </w:p>
        </w:tc>
        <w:tc>
          <w:tcPr>
            <w:tcW w:w="3024" w:type="dxa"/>
            <w:shd w:val="clear" w:color="auto" w:fill="F2F4F7"/>
            <w:tcMar>
              <w:top w:w="100" w:type="dxa"/>
              <w:left w:w="150" w:type="dxa"/>
              <w:bottom w:w="100" w:type="dxa"/>
              <w:right w:w="150" w:type="dxa"/>
            </w:tcMar>
            <w:vAlign w:val="center"/>
          </w:tcPr>
          <w:p w14:paraId="6C0033FE" w14:textId="77777777" w:rsidR="00CC4463" w:rsidRDefault="00683C5D">
            <w:r>
              <w:rPr>
                <w:sz w:val="19"/>
              </w:rPr>
              <w:t>Pancreatitis signals</w:t>
            </w:r>
          </w:p>
        </w:tc>
      </w:tr>
      <w:tr w:rsidR="00CC4463" w14:paraId="11967A7A" w14:textId="77777777">
        <w:trPr>
          <w:jc w:val="center"/>
        </w:trPr>
        <w:tc>
          <w:tcPr>
            <w:tcW w:w="1440" w:type="dxa"/>
            <w:shd w:val="clear" w:color="auto" w:fill="FFFFFF"/>
            <w:tcMar>
              <w:top w:w="100" w:type="dxa"/>
              <w:left w:w="150" w:type="dxa"/>
              <w:bottom w:w="100" w:type="dxa"/>
              <w:right w:w="150" w:type="dxa"/>
            </w:tcMar>
            <w:vAlign w:val="center"/>
          </w:tcPr>
          <w:p w14:paraId="0BBC0475" w14:textId="77777777" w:rsidR="00CC4463" w:rsidRDefault="00683C5D">
            <w:r>
              <w:rPr>
                <w:sz w:val="19"/>
              </w:rPr>
              <w:t>39040467</w:t>
            </w:r>
          </w:p>
        </w:tc>
        <w:tc>
          <w:tcPr>
            <w:tcW w:w="1872" w:type="dxa"/>
            <w:shd w:val="clear" w:color="auto" w:fill="FFFFFF"/>
            <w:tcMar>
              <w:top w:w="100" w:type="dxa"/>
              <w:left w:w="150" w:type="dxa"/>
              <w:bottom w:w="100" w:type="dxa"/>
              <w:right w:w="150" w:type="dxa"/>
            </w:tcMar>
            <w:vAlign w:val="center"/>
          </w:tcPr>
          <w:p w14:paraId="4703BFCA" w14:textId="77777777" w:rsidR="00CC4463" w:rsidRDefault="00683C5D">
            <w:r>
              <w:rPr>
                <w:sz w:val="19"/>
              </w:rPr>
              <w:t>Author (2024)</w:t>
            </w:r>
          </w:p>
        </w:tc>
        <w:tc>
          <w:tcPr>
            <w:tcW w:w="2016" w:type="dxa"/>
            <w:shd w:val="clear" w:color="auto" w:fill="FFFFFF"/>
            <w:tcMar>
              <w:top w:w="100" w:type="dxa"/>
              <w:left w:w="150" w:type="dxa"/>
              <w:bottom w:w="100" w:type="dxa"/>
              <w:right w:w="150" w:type="dxa"/>
            </w:tcMar>
            <w:vAlign w:val="center"/>
          </w:tcPr>
          <w:p w14:paraId="75E18691" w14:textId="77777777" w:rsidR="00CC4463" w:rsidRDefault="00683C5D">
            <w:r>
              <w:rPr>
                <w:sz w:val="19"/>
              </w:rPr>
              <w:t>Front Pharmacol</w:t>
            </w:r>
          </w:p>
        </w:tc>
        <w:tc>
          <w:tcPr>
            <w:tcW w:w="1728" w:type="dxa"/>
            <w:shd w:val="clear" w:color="auto" w:fill="FFFFFF"/>
            <w:tcMar>
              <w:top w:w="100" w:type="dxa"/>
              <w:left w:w="150" w:type="dxa"/>
              <w:bottom w:w="100" w:type="dxa"/>
              <w:right w:w="150" w:type="dxa"/>
            </w:tcMar>
            <w:vAlign w:val="center"/>
          </w:tcPr>
          <w:p w14:paraId="67F44EE0" w14:textId="77777777" w:rsidR="00CC4463" w:rsidRDefault="00683C5D">
            <w:r>
              <w:rPr>
                <w:sz w:val="19"/>
              </w:rPr>
              <w:t>Retrospective pharmacovigilance</w:t>
            </w:r>
          </w:p>
        </w:tc>
        <w:tc>
          <w:tcPr>
            <w:tcW w:w="3024" w:type="dxa"/>
            <w:shd w:val="clear" w:color="auto" w:fill="FFFFFF"/>
            <w:tcMar>
              <w:top w:w="100" w:type="dxa"/>
              <w:left w:w="150" w:type="dxa"/>
              <w:bottom w:w="100" w:type="dxa"/>
              <w:right w:w="150" w:type="dxa"/>
            </w:tcMar>
            <w:vAlign w:val="center"/>
          </w:tcPr>
          <w:p w14:paraId="2282DE4A" w14:textId="77777777" w:rsidR="00CC4463" w:rsidRDefault="00683C5D">
            <w:r>
              <w:rPr>
                <w:sz w:val="19"/>
              </w:rPr>
              <w:t>Dehydration and hypoglycemia profiles</w:t>
            </w:r>
          </w:p>
        </w:tc>
      </w:tr>
      <w:tr w:rsidR="00CC4463" w14:paraId="24D27FF9" w14:textId="77777777">
        <w:trPr>
          <w:jc w:val="center"/>
        </w:trPr>
        <w:tc>
          <w:tcPr>
            <w:tcW w:w="1440" w:type="dxa"/>
            <w:shd w:val="clear" w:color="auto" w:fill="F2F4F7"/>
            <w:tcMar>
              <w:top w:w="100" w:type="dxa"/>
              <w:left w:w="150" w:type="dxa"/>
              <w:bottom w:w="100" w:type="dxa"/>
              <w:right w:w="150" w:type="dxa"/>
            </w:tcMar>
            <w:vAlign w:val="center"/>
          </w:tcPr>
          <w:p w14:paraId="54E559A2" w14:textId="77777777" w:rsidR="00CC4463" w:rsidRDefault="00683C5D">
            <w:r>
              <w:rPr>
                <w:sz w:val="19"/>
              </w:rPr>
              <w:t>39578328</w:t>
            </w:r>
          </w:p>
        </w:tc>
        <w:tc>
          <w:tcPr>
            <w:tcW w:w="1872" w:type="dxa"/>
            <w:shd w:val="clear" w:color="auto" w:fill="F2F4F7"/>
            <w:tcMar>
              <w:top w:w="100" w:type="dxa"/>
              <w:left w:w="150" w:type="dxa"/>
              <w:bottom w:w="100" w:type="dxa"/>
              <w:right w:w="150" w:type="dxa"/>
            </w:tcMar>
            <w:vAlign w:val="center"/>
          </w:tcPr>
          <w:p w14:paraId="7DAC8858" w14:textId="77777777" w:rsidR="00CC4463" w:rsidRDefault="00683C5D">
            <w:r>
              <w:rPr>
                <w:sz w:val="19"/>
              </w:rPr>
              <w:t>Author (2025)</w:t>
            </w:r>
          </w:p>
        </w:tc>
        <w:tc>
          <w:tcPr>
            <w:tcW w:w="2016" w:type="dxa"/>
            <w:shd w:val="clear" w:color="auto" w:fill="F2F4F7"/>
            <w:tcMar>
              <w:top w:w="100" w:type="dxa"/>
              <w:left w:w="150" w:type="dxa"/>
              <w:bottom w:w="100" w:type="dxa"/>
              <w:right w:w="150" w:type="dxa"/>
            </w:tcMar>
            <w:vAlign w:val="center"/>
          </w:tcPr>
          <w:p w14:paraId="5EF798C5" w14:textId="77777777" w:rsidR="00CC4463" w:rsidRDefault="00683C5D">
            <w:r>
              <w:rPr>
                <w:sz w:val="19"/>
              </w:rPr>
              <w:t>Endocrine</w:t>
            </w:r>
          </w:p>
        </w:tc>
        <w:tc>
          <w:tcPr>
            <w:tcW w:w="1728" w:type="dxa"/>
            <w:shd w:val="clear" w:color="auto" w:fill="F2F4F7"/>
            <w:tcMar>
              <w:top w:w="100" w:type="dxa"/>
              <w:left w:w="150" w:type="dxa"/>
              <w:bottom w:w="100" w:type="dxa"/>
              <w:right w:w="150" w:type="dxa"/>
            </w:tcMar>
            <w:vAlign w:val="center"/>
          </w:tcPr>
          <w:p w14:paraId="5BACA0B2" w14:textId="77777777" w:rsidR="00CC4463" w:rsidRDefault="00683C5D">
            <w:r>
              <w:rPr>
                <w:sz w:val="19"/>
              </w:rPr>
              <w:t>Retrospective pharmacovigilance</w:t>
            </w:r>
          </w:p>
        </w:tc>
        <w:tc>
          <w:tcPr>
            <w:tcW w:w="3024" w:type="dxa"/>
            <w:shd w:val="clear" w:color="auto" w:fill="F2F4F7"/>
            <w:tcMar>
              <w:top w:w="100" w:type="dxa"/>
              <w:left w:w="150" w:type="dxa"/>
              <w:bottom w:w="100" w:type="dxa"/>
              <w:right w:w="150" w:type="dxa"/>
            </w:tcMar>
            <w:vAlign w:val="center"/>
          </w:tcPr>
          <w:p w14:paraId="089DB26C" w14:textId="77777777" w:rsidR="00CC4463" w:rsidRDefault="00683C5D">
            <w:r>
              <w:rPr>
                <w:sz w:val="19"/>
              </w:rPr>
              <w:t>Retinopathy and visual impairment signals</w:t>
            </w:r>
          </w:p>
        </w:tc>
      </w:tr>
      <w:tr w:rsidR="00CC4463" w14:paraId="3F88343A" w14:textId="77777777">
        <w:trPr>
          <w:jc w:val="center"/>
        </w:trPr>
        <w:tc>
          <w:tcPr>
            <w:tcW w:w="1440" w:type="dxa"/>
            <w:shd w:val="clear" w:color="auto" w:fill="FFFFFF"/>
            <w:tcMar>
              <w:top w:w="100" w:type="dxa"/>
              <w:left w:w="150" w:type="dxa"/>
              <w:bottom w:w="100" w:type="dxa"/>
              <w:right w:w="150" w:type="dxa"/>
            </w:tcMar>
            <w:vAlign w:val="center"/>
          </w:tcPr>
          <w:p w14:paraId="3A8449C6" w14:textId="77777777" w:rsidR="00CC4463" w:rsidRDefault="00683C5D">
            <w:r>
              <w:rPr>
                <w:sz w:val="19"/>
              </w:rPr>
              <w:lastRenderedPageBreak/>
              <w:t>38925559</w:t>
            </w:r>
          </w:p>
        </w:tc>
        <w:tc>
          <w:tcPr>
            <w:tcW w:w="1872" w:type="dxa"/>
            <w:shd w:val="clear" w:color="auto" w:fill="FFFFFF"/>
            <w:tcMar>
              <w:top w:w="100" w:type="dxa"/>
              <w:left w:w="150" w:type="dxa"/>
              <w:bottom w:w="100" w:type="dxa"/>
              <w:right w:w="150" w:type="dxa"/>
            </w:tcMar>
            <w:vAlign w:val="center"/>
          </w:tcPr>
          <w:p w14:paraId="000F145D" w14:textId="77777777" w:rsidR="00CC4463" w:rsidRDefault="00683C5D">
            <w:r>
              <w:rPr>
                <w:sz w:val="19"/>
              </w:rPr>
              <w:t>Author (2024)</w:t>
            </w:r>
          </w:p>
        </w:tc>
        <w:tc>
          <w:tcPr>
            <w:tcW w:w="2016" w:type="dxa"/>
            <w:shd w:val="clear" w:color="auto" w:fill="FFFFFF"/>
            <w:tcMar>
              <w:top w:w="100" w:type="dxa"/>
              <w:left w:w="150" w:type="dxa"/>
              <w:bottom w:w="100" w:type="dxa"/>
              <w:right w:w="150" w:type="dxa"/>
            </w:tcMar>
            <w:vAlign w:val="center"/>
          </w:tcPr>
          <w:p w14:paraId="5D8CE8AF" w14:textId="77777777" w:rsidR="00CC4463" w:rsidRDefault="00683C5D">
            <w:r>
              <w:rPr>
                <w:sz w:val="19"/>
              </w:rPr>
              <w:t>JEADV</w:t>
            </w:r>
          </w:p>
        </w:tc>
        <w:tc>
          <w:tcPr>
            <w:tcW w:w="1728" w:type="dxa"/>
            <w:shd w:val="clear" w:color="auto" w:fill="FFFFFF"/>
            <w:tcMar>
              <w:top w:w="100" w:type="dxa"/>
              <w:left w:w="150" w:type="dxa"/>
              <w:bottom w:w="100" w:type="dxa"/>
              <w:right w:w="150" w:type="dxa"/>
            </w:tcMar>
            <w:vAlign w:val="center"/>
          </w:tcPr>
          <w:p w14:paraId="01C7648F" w14:textId="77777777" w:rsidR="00CC4463" w:rsidRDefault="00683C5D">
            <w:r>
              <w:rPr>
                <w:sz w:val="19"/>
              </w:rPr>
              <w:t>Retrospective pharmacovigilance</w:t>
            </w:r>
          </w:p>
        </w:tc>
        <w:tc>
          <w:tcPr>
            <w:tcW w:w="3024" w:type="dxa"/>
            <w:shd w:val="clear" w:color="auto" w:fill="FFFFFF"/>
            <w:tcMar>
              <w:top w:w="100" w:type="dxa"/>
              <w:left w:w="150" w:type="dxa"/>
              <w:bottom w:w="100" w:type="dxa"/>
              <w:right w:w="150" w:type="dxa"/>
            </w:tcMar>
            <w:vAlign w:val="center"/>
          </w:tcPr>
          <w:p w14:paraId="5969810A" w14:textId="77777777" w:rsidR="00CC4463" w:rsidRDefault="00683C5D">
            <w:r>
              <w:rPr>
                <w:sz w:val="19"/>
              </w:rPr>
              <w:t>Significant alopecia signal</w:t>
            </w:r>
          </w:p>
        </w:tc>
      </w:tr>
      <w:tr w:rsidR="00CC4463" w14:paraId="2B7361B5" w14:textId="77777777">
        <w:trPr>
          <w:jc w:val="center"/>
        </w:trPr>
        <w:tc>
          <w:tcPr>
            <w:tcW w:w="1440" w:type="dxa"/>
            <w:shd w:val="clear" w:color="auto" w:fill="F2F4F7"/>
            <w:tcMar>
              <w:top w:w="100" w:type="dxa"/>
              <w:left w:w="150" w:type="dxa"/>
              <w:bottom w:w="100" w:type="dxa"/>
              <w:right w:w="150" w:type="dxa"/>
            </w:tcMar>
            <w:vAlign w:val="center"/>
          </w:tcPr>
          <w:p w14:paraId="67486C82" w14:textId="77777777" w:rsidR="00CC4463" w:rsidRDefault="00683C5D">
            <w:r>
              <w:rPr>
                <w:sz w:val="19"/>
              </w:rPr>
              <w:t>40787040</w:t>
            </w:r>
          </w:p>
        </w:tc>
        <w:tc>
          <w:tcPr>
            <w:tcW w:w="1872" w:type="dxa"/>
            <w:shd w:val="clear" w:color="auto" w:fill="F2F4F7"/>
            <w:tcMar>
              <w:top w:w="100" w:type="dxa"/>
              <w:left w:w="150" w:type="dxa"/>
              <w:bottom w:w="100" w:type="dxa"/>
              <w:right w:w="150" w:type="dxa"/>
            </w:tcMar>
            <w:vAlign w:val="center"/>
          </w:tcPr>
          <w:p w14:paraId="6077B674" w14:textId="77777777" w:rsidR="00CC4463" w:rsidRDefault="00683C5D">
            <w:r>
              <w:rPr>
                <w:sz w:val="19"/>
              </w:rPr>
              <w:t>Author (2025)</w:t>
            </w:r>
          </w:p>
        </w:tc>
        <w:tc>
          <w:tcPr>
            <w:tcW w:w="2016" w:type="dxa"/>
            <w:shd w:val="clear" w:color="auto" w:fill="F2F4F7"/>
            <w:tcMar>
              <w:top w:w="100" w:type="dxa"/>
              <w:left w:w="150" w:type="dxa"/>
              <w:bottom w:w="100" w:type="dxa"/>
              <w:right w:w="150" w:type="dxa"/>
            </w:tcMar>
            <w:vAlign w:val="center"/>
          </w:tcPr>
          <w:p w14:paraId="6B9F6A50" w14:textId="77777777" w:rsidR="00CC4463" w:rsidRDefault="00683C5D">
            <w:r>
              <w:rPr>
                <w:sz w:val="19"/>
              </w:rPr>
              <w:t>JAAD Case Reports</w:t>
            </w:r>
          </w:p>
        </w:tc>
        <w:tc>
          <w:tcPr>
            <w:tcW w:w="1728" w:type="dxa"/>
            <w:shd w:val="clear" w:color="auto" w:fill="F2F4F7"/>
            <w:tcMar>
              <w:top w:w="100" w:type="dxa"/>
              <w:left w:w="150" w:type="dxa"/>
              <w:bottom w:w="100" w:type="dxa"/>
              <w:right w:w="150" w:type="dxa"/>
            </w:tcMar>
            <w:vAlign w:val="center"/>
          </w:tcPr>
          <w:p w14:paraId="5DBE67A9" w14:textId="77777777" w:rsidR="00CC4463" w:rsidRDefault="00683C5D">
            <w:r>
              <w:rPr>
                <w:sz w:val="19"/>
              </w:rPr>
              <w:t>Scoping review</w:t>
            </w:r>
          </w:p>
        </w:tc>
        <w:tc>
          <w:tcPr>
            <w:tcW w:w="3024" w:type="dxa"/>
            <w:shd w:val="clear" w:color="auto" w:fill="F2F4F7"/>
            <w:tcMar>
              <w:top w:w="100" w:type="dxa"/>
              <w:left w:w="150" w:type="dxa"/>
              <w:bottom w:w="100" w:type="dxa"/>
              <w:right w:w="150" w:type="dxa"/>
            </w:tcMar>
            <w:vAlign w:val="center"/>
          </w:tcPr>
          <w:p w14:paraId="6C9BAE1C" w14:textId="77777777" w:rsidR="00CC4463" w:rsidRDefault="00683C5D">
            <w:r>
              <w:rPr>
                <w:sz w:val="19"/>
              </w:rPr>
              <w:t>Clinical cases corroborate FAERS alopecia signal</w:t>
            </w:r>
          </w:p>
        </w:tc>
      </w:tr>
    </w:tbl>
    <w:p w14:paraId="04782836" w14:textId="77777777" w:rsidR="00CC4463" w:rsidRDefault="00CC4463"/>
    <w:p w14:paraId="10AB4FB9" w14:textId="77777777" w:rsidR="00CC4463" w:rsidRDefault="00683C5D">
      <w:pPr>
        <w:keepNext/>
        <w:spacing w:before="360"/>
      </w:pPr>
      <w:r>
        <w:rPr>
          <w:b/>
          <w:color w:val="1F497D"/>
          <w:sz w:val="32"/>
        </w:rPr>
        <w:t>5. Critical Thematic Synthesis</w:t>
      </w:r>
    </w:p>
    <w:p w14:paraId="171E3737" w14:textId="77777777" w:rsidR="00CC4463" w:rsidRDefault="00683C5D">
      <w:pPr>
        <w:keepNext/>
        <w:spacing w:before="240" w:after="80"/>
      </w:pPr>
      <w:r>
        <w:rPr>
          <w:b/>
          <w:color w:val="366092"/>
          <w:sz w:val="26"/>
        </w:rPr>
        <w:t>5.1 Emerging Trends in GLP-1 Receptor Agonist Surveillance</w:t>
      </w:r>
    </w:p>
    <w:p w14:paraId="7D38E5A2" w14:textId="77777777" w:rsidR="00CC4463" w:rsidRDefault="00683C5D">
      <w:r>
        <w:t>The pharmacological landscape of GLP-1 RA surveillance has undergone significant transformation over the past five years. Initial pharmacovigilance focused predominantly on gastrointestinal adverse effects (nausea, vomiting, delayed gastric emptying, ileus) and rare endocrine concerns such as pancreatitis and thyroid C-cell hyperplasia. However, current post-marketing analyses reflect a multi-organ safety paradigm, extending into psychiatric manifestations, non-arteritic anterior ischemic optic neuropathy (NAION, PMID 39922760), and dermatological outcomes including alopecia (PMID 38925559).</w:t>
      </w:r>
    </w:p>
    <w:p w14:paraId="0ACE81F3" w14:textId="77777777" w:rsidR="00CC4463" w:rsidRDefault="00683C5D">
      <w:r>
        <w:t>Crucially, recent research demonstrates formulation-dependent divergence in adverse event reporting. Comparative evaluations of oral semaglutide (Rybelsus) versus once-weekly subcutaneous injections (Ozempic, Wegovy) reveal higher rates of gastrointestinal discomfort linked to oral absorption enhancers (SNAC), whereas subcutaneous dosing exhibits higher reporting volume for systemic and neuropsychiatric signals, likely reflecting higher peak plasma concentrations and sustained receptor occupancy.</w:t>
      </w:r>
    </w:p>
    <w:p w14:paraId="2F5BF1C3" w14:textId="77777777" w:rsidR="00CC4463" w:rsidRDefault="00683C5D">
      <w:pPr>
        <w:keepNext/>
        <w:spacing w:before="240" w:after="80"/>
      </w:pPr>
      <w:r>
        <w:rPr>
          <w:b/>
          <w:color w:val="366092"/>
          <w:sz w:val="26"/>
        </w:rPr>
        <w:t>5.2 Major Breakthroughs and Discrepant Findings in Psychiatric Safety</w:t>
      </w:r>
    </w:p>
    <w:p w14:paraId="75569F4D" w14:textId="77777777" w:rsidR="00CC4463" w:rsidRDefault="00683C5D">
      <w:r>
        <w:t>A central breakthrough in recent literature is the empirical identification of disproportionality signals for depression, anxiety, and suicidal behavior in spontaneous reporting databases. Khouri et al. (2024) and Schoretsanitis et al. (2024, JAMA Network Open) documented statistically significant disproportionality signals for suicidal ideation with semaglutide in both FAERS and WHO VigiBase. These signals prompted international regulatory reviews by the FDA, EMA Pharmacovigilance Risk Assessment Committee (PRAC), and MHRA.</w:t>
      </w:r>
    </w:p>
    <w:p w14:paraId="172A4888" w14:textId="77777777" w:rsidR="00CC4463" w:rsidRDefault="00683C5D">
      <w:r>
        <w:t>Crucially, these disproportionality signals stand in sharp contrast to findings from real-world target-trial emulation studies. Wang et al. (2024, Nature Medicine), analyzing electronic health records of over 1.8 million patients with type 2 diabetes and obesity, found that semaglutide was associated with a 49% to 73% lower risk of incident and recurrent suicidal ideation compared to non-GLP-1 antidiabetic and anti-obesity medications. This diametric contradiction represents a pivotal methodological controversy in modern pharmacoepidemiology, indicating that spontaneous reporting databases may be heavily confounded by external reporting stimulants.</w:t>
      </w:r>
    </w:p>
    <w:p w14:paraId="4C2D511D" w14:textId="77777777" w:rsidR="00CC4463" w:rsidRDefault="00683C5D">
      <w:pPr>
        <w:keepNext/>
        <w:spacing w:before="240" w:after="80"/>
      </w:pPr>
      <w:r>
        <w:rPr>
          <w:b/>
          <w:color w:val="366092"/>
          <w:sz w:val="26"/>
        </w:rPr>
        <w:t>5.3 Methodological Challenges in Spontaneous Pharmacovigilance</w:t>
      </w:r>
    </w:p>
    <w:p w14:paraId="018D98DC" w14:textId="77777777" w:rsidR="00CC4463" w:rsidRDefault="00683C5D">
      <w:r>
        <w:t xml:space="preserve">Spontaneous adverse event databases such as FAERS provide indispensable early safety warnings but suffer from profound structural limitations. First, spontaneous reporting is voluntary, leading to extreme </w:t>
      </w:r>
      <w:r>
        <w:lastRenderedPageBreak/>
        <w:t>underreporting—often estimated at 1% to 10% of true clinical incidence. Second, the Weber effect and notoriety bias heavily distort reporting rates; following viral social media attention and regulatory announcements, reporting of psychiatric symptoms surged exponentially, generating 'stimulated reporting' that inflates disproportionality metrics without reflecting changes in underlying biological risk.</w:t>
      </w:r>
    </w:p>
    <w:p w14:paraId="302DE2CD" w14:textId="77777777" w:rsidR="00CC4463" w:rsidRDefault="00683C5D">
      <w:r>
        <w:t>Furthermore, FAERS records lack accurate denominator data (total number of patients exposed), precluding the calculation of true incidence rates or absolute risk. Finally, confounding by indication poses an unavoidable challenge: obesity and type 2 diabetes are independently associated with elevated baseline risks of major depressive disorder, anhedonia, and affective dysregulation.</w:t>
      </w:r>
    </w:p>
    <w:p w14:paraId="6B6292C3" w14:textId="77777777" w:rsidR="00CC4463" w:rsidRDefault="00683C5D">
      <w:pPr>
        <w:keepNext/>
        <w:spacing w:before="240" w:after="80"/>
      </w:pPr>
      <w:r>
        <w:rPr>
          <w:b/>
          <w:color w:val="366092"/>
          <w:sz w:val="26"/>
        </w:rPr>
        <w:t>5.4 Identification of Unresolved Research Gaps</w:t>
      </w:r>
    </w:p>
    <w:p w14:paraId="3FA52256" w14:textId="77777777" w:rsidR="00CC4463" w:rsidRDefault="00683C5D">
      <w:r>
        <w:t>Cross-study synthesis reveals four paramount research gaps:</w:t>
      </w:r>
    </w:p>
    <w:p w14:paraId="3D23173B" w14:textId="77777777" w:rsidR="00CC4463" w:rsidRDefault="00683C5D">
      <w:r>
        <w:rPr>
          <w:b/>
        </w:rPr>
        <w:t xml:space="preserve">• Lack of Active-Comparator Standardization: </w:t>
      </w:r>
      <w:r>
        <w:t>Many published FAERS analyses compare semaglutide against the entire database background rather than clinically relevant active comparator classes (e.g., SGLT2 inhibitors), introducing substantial indication bias.</w:t>
      </w:r>
    </w:p>
    <w:p w14:paraId="063F120C" w14:textId="77777777" w:rsidR="00CC4463" w:rsidRDefault="00683C5D">
      <w:r>
        <w:rPr>
          <w:b/>
        </w:rPr>
        <w:t xml:space="preserve">• Dose-Dependent and Formulation Nuances: </w:t>
      </w:r>
      <w:r>
        <w:t>Existing literature predominantly aggregates 0.25 mg, 0.5 mg, 1.0 mg, and 2.4 mg doses, obscuring whether psychiatric signals are threshold-dependent or titration-rate dependent.</w:t>
      </w:r>
    </w:p>
    <w:p w14:paraId="3CA40125" w14:textId="77777777" w:rsidR="00CC4463" w:rsidRDefault="00683C5D">
      <w:r>
        <w:rPr>
          <w:b/>
        </w:rPr>
        <w:t xml:space="preserve">• Temporal Evolution Tracking: </w:t>
      </w:r>
      <w:r>
        <w:t>Insufficient research tracks how signal strength (ROR) evolved longitudinally before versus after viral media coverage and regulatory alerts.</w:t>
      </w:r>
    </w:p>
    <w:p w14:paraId="7ACCB76A" w14:textId="77777777" w:rsidR="00CC4463" w:rsidRDefault="00683C5D">
      <w:r>
        <w:rPr>
          <w:b/>
        </w:rPr>
        <w:t xml:space="preserve">• Absence of Prospective Mechanistic Validation: </w:t>
      </w:r>
      <w:r>
        <w:t>No prospective clinical study has actively monitored validated psychiatric rating scales (e.g., PHQ-9, C-SSRS) in GLP-1 RA initiators compared to active antidiabetic controls.</w:t>
      </w:r>
    </w:p>
    <w:p w14:paraId="1AA54895" w14:textId="77777777" w:rsidR="00CC4463" w:rsidRDefault="00683C5D">
      <w:pPr>
        <w:keepNext/>
        <w:spacing w:before="360"/>
      </w:pPr>
      <w:r>
        <w:rPr>
          <w:b/>
          <w:color w:val="1F497D"/>
          <w:sz w:val="32"/>
        </w:rPr>
        <w:t>6. Research Proposal Foundation</w:t>
      </w:r>
    </w:p>
    <w:p w14:paraId="51DE4555" w14:textId="77777777" w:rsidR="00CC4463" w:rsidRDefault="00683C5D">
      <w:pPr>
        <w:keepNext/>
        <w:spacing w:before="240" w:after="80"/>
      </w:pPr>
      <w:r>
        <w:rPr>
          <w:b/>
          <w:color w:val="366092"/>
          <w:sz w:val="26"/>
        </w:rPr>
        <w:t>6.1 Research Problem Statement</w:t>
      </w:r>
    </w:p>
    <w:p w14:paraId="5716B97A" w14:textId="77777777" w:rsidR="00CC4463" w:rsidRDefault="00683C5D">
      <w:r>
        <w:t>Post-marketing reports of depressive symptoms and suicidal ideation associated with semaglutide have generated widespread clinical uncertainty and regulatory scrutiny. Because pre-approval clinical trials excluded individuals with psychiatric illness and post-marketing spontaneous reporting is vulnerable to notoriety bias, clinicians lack definitive evidence regarding whether semaglutide confers a genuine drug-specific neuropsychiatric risk relative to alternative contemporary antidiabetic therapies.</w:t>
      </w:r>
    </w:p>
    <w:p w14:paraId="1DD650DE" w14:textId="77777777" w:rsidR="00CC4463" w:rsidRDefault="00683C5D">
      <w:pPr>
        <w:keepNext/>
        <w:spacing w:before="240" w:after="80"/>
      </w:pPr>
      <w:r>
        <w:rPr>
          <w:b/>
          <w:color w:val="366092"/>
          <w:sz w:val="26"/>
        </w:rPr>
        <w:t>6.2 PICO Framework and Research Questions</w:t>
      </w:r>
    </w:p>
    <w:p w14:paraId="41E91C6E" w14:textId="77777777" w:rsidR="00CC4463" w:rsidRDefault="00683C5D">
      <w:r>
        <w:t>The proposed investigation is structured according to the rigorous PICO (Population, Intervention, Comparator, Outcome) framework:</w:t>
      </w:r>
    </w:p>
    <w:p w14:paraId="26F48240" w14:textId="77777777" w:rsidR="00CC4463" w:rsidRDefault="00683C5D">
      <w:r>
        <w:rPr>
          <w:b/>
          <w:color w:val="1F497D"/>
        </w:rPr>
        <w:t xml:space="preserve">• Population (P): </w:t>
      </w:r>
      <w:r>
        <w:t>Adult patients (&gt;= 18 years) with post-marketing adverse event reports in FDA FAERS from 2018 through 2025.</w:t>
      </w:r>
    </w:p>
    <w:p w14:paraId="0D35A65F" w14:textId="77777777" w:rsidR="00CC4463" w:rsidRDefault="00683C5D">
      <w:r>
        <w:rPr>
          <w:b/>
          <w:color w:val="1F497D"/>
        </w:rPr>
        <w:t xml:space="preserve">• Intervention (I): </w:t>
      </w:r>
      <w:r>
        <w:t>Semaglutide therapy (Ozempic, Wegovy, Rybelsus) as primary suspect medication.</w:t>
      </w:r>
    </w:p>
    <w:p w14:paraId="5E3C4B2C" w14:textId="77777777" w:rsidR="00CC4463" w:rsidRDefault="00683C5D">
      <w:r>
        <w:rPr>
          <w:b/>
          <w:color w:val="1F497D"/>
        </w:rPr>
        <w:lastRenderedPageBreak/>
        <w:t xml:space="preserve">• Comparator (C): </w:t>
      </w:r>
      <w:r>
        <w:t>Sodium-Glucose Cotransporter-2 (SGLT2) Inhibitors (Empagliflozin, Dapagliflozin, Canagliflozin) representing modern second-line antidiabetic therapy.</w:t>
      </w:r>
    </w:p>
    <w:p w14:paraId="4A1CCDD2" w14:textId="77777777" w:rsidR="00CC4463" w:rsidRDefault="00683C5D">
      <w:r>
        <w:rPr>
          <w:b/>
          <w:color w:val="1F497D"/>
        </w:rPr>
        <w:t xml:space="preserve">• Outcome (O): </w:t>
      </w:r>
      <w:r>
        <w:t>Disproportionately higher reporting of MedDRA-coded psychiatric adverse events, specifically depression, depressed mood, anxiety, insomnia, panic attack, suicidal ideation, and suicide attempt.</w:t>
      </w:r>
    </w:p>
    <w:p w14:paraId="4E10CE46" w14:textId="77777777" w:rsidR="00CC4463" w:rsidRDefault="00683C5D">
      <w:pPr>
        <w:keepNext/>
        <w:spacing w:before="160" w:after="40"/>
      </w:pPr>
      <w:r>
        <w:rPr>
          <w:b/>
          <w:i/>
          <w:sz w:val="23"/>
        </w:rPr>
        <w:t>Primary Research Question</w:t>
      </w:r>
    </w:p>
    <w:p w14:paraId="75C63D3A" w14:textId="77777777" w:rsidR="00CC4463" w:rsidRDefault="00683C5D">
      <w:r>
        <w:t>Is semaglutide exposure associated with a statistically significant disproportionate reporting rate of psychiatric adverse events compared to active comparator SGLT2 inhibitors in the FDA Adverse Event Reporting System (FAERS) database between 2018 and 2025?</w:t>
      </w:r>
    </w:p>
    <w:p w14:paraId="5127C631" w14:textId="77777777" w:rsidR="00CC4463" w:rsidRDefault="00683C5D">
      <w:pPr>
        <w:keepNext/>
        <w:spacing w:before="240" w:after="80"/>
      </w:pPr>
      <w:r>
        <w:rPr>
          <w:b/>
          <w:color w:val="366092"/>
          <w:sz w:val="26"/>
        </w:rPr>
        <w:t>6.3 Formal Hypotheses</w:t>
      </w:r>
    </w:p>
    <w:p w14:paraId="7DEB23D5" w14:textId="77777777" w:rsidR="00CC4463" w:rsidRDefault="00683C5D">
      <w:r>
        <w:t>To evaluate this research question, the following formal statistical hypotheses are established:</w:t>
      </w:r>
    </w:p>
    <w:p w14:paraId="40CAA102" w14:textId="77777777" w:rsidR="00CC4463" w:rsidRDefault="00683C5D">
      <w:r>
        <w:t>Null Hypothesis (H0): The Reporting Odds Ratio (ROR) for psychiatric adverse events in semaglutide-exposed reports is less than or equal to 1.0 relative to SGLT2 inhibitor reports (ROR &lt;= 1.0), indicating no disproportionate pharmacovigilance safety signal.</w:t>
      </w:r>
    </w:p>
    <w:p w14:paraId="388FA2AB" w14:textId="77777777" w:rsidR="00CC4463" w:rsidRDefault="00683C5D">
      <w:r>
        <w:t>Alternative Hypothesis (H1): The Reporting Odds Ratio (ROR) for psychiatric adverse events in semaglutide-exposed reports is strictly greater than 1.0 relative to SGLT2 inhibitor reports (ROR &gt; 1.0), with the lower bound of the 95% confidence interval exceeding 1.0 alongside a Proportional Reporting Ratio (PRR) &gt;= 2.0 and Chi-square statistic &gt;= 4.0, establishing a formal pharmacovigilance signal.</w:t>
      </w:r>
    </w:p>
    <w:p w14:paraId="796044E5" w14:textId="77777777" w:rsidR="00CC4463" w:rsidRDefault="00683C5D">
      <w:pPr>
        <w:keepNext/>
        <w:spacing w:before="240" w:after="80"/>
      </w:pPr>
      <w:r>
        <w:rPr>
          <w:b/>
          <w:color w:val="366092"/>
          <w:sz w:val="26"/>
        </w:rPr>
        <w:t>6.4 Conceptual Framework and Analytical Logic</w:t>
      </w:r>
    </w:p>
    <w:p w14:paraId="7D401008" w14:textId="77777777" w:rsidR="00CC4463" w:rsidRDefault="00683C5D">
      <w:r>
        <w:t>The conceptual framework integrates epidemiological pharmacovigilance with translational clinical research across a four-stage pathway:</w:t>
      </w:r>
    </w:p>
    <w:p w14:paraId="1DB3F314" w14:textId="77777777" w:rsidR="00CC4463" w:rsidRDefault="00683C5D">
      <w:r>
        <w:t>1. Spontaneous Signal Detection (Week 2): Mining FAERS disproportionality metrics (ROR, PRR, Chi-square with Yates correction) to establish empirical signal thresholds across seven distinct psychiatric MedDRA preferred terms.</w:t>
      </w:r>
      <w:r>
        <w:br/>
        <w:t>2. Prospective Simulation Modeling (Week 3): Formulating an active surveillance cohort study protocol (N=2,000) incorporating standardized psychiatric diagnostic scales (PHQ-9, C-SSRS, GAD-7) to address spontaneous reporting limitations.</w:t>
      </w:r>
      <w:r>
        <w:br/>
        <w:t>3. Critical Trial Appraisal (Week 4): Methodologically evaluating the landmark STEP 1 trial (Wilding et al., 2021) to assess RCT safety monitoring paradigms and identify why neuropsychiatric signals evade detection in pre-approval environments.</w:t>
      </w:r>
      <w:r>
        <w:br/>
        <w:t>4. Portfolio Integration: Synthesizing real-world pharmacovigilance, simulated prospective design, and clinical trial critique into a cohesive regulatory and patient-safety portfolio.</w:t>
      </w:r>
    </w:p>
    <w:p w14:paraId="1B80F699" w14:textId="77777777" w:rsidR="00CC4463" w:rsidRDefault="00683C5D">
      <w:pPr>
        <w:keepNext/>
        <w:spacing w:before="360"/>
      </w:pPr>
      <w:r>
        <w:rPr>
          <w:b/>
          <w:color w:val="1F497D"/>
          <w:sz w:val="32"/>
        </w:rPr>
        <w:t>7. Anticipated Translational Impact</w:t>
      </w:r>
    </w:p>
    <w:p w14:paraId="3D810521" w14:textId="77777777" w:rsidR="00CC4463" w:rsidRDefault="00683C5D">
      <w:r>
        <w:t xml:space="preserve">Clarifying the neuropsychiatric safety profile of semaglutide carries profound clinical and regulatory implications. With tens of millions of patients prescribed GLP-1 RAs globally, distinguishing genuine neurobiological adverse effects from media-stimulated reporting and underlying disease comorbidity </w:t>
      </w:r>
      <w:r>
        <w:lastRenderedPageBreak/>
        <w:t>ensures that patient safety warnings are evidence-based, preventing inappropriate drug discontinuations while safeguarding vulnerable patient subgroups.</w:t>
      </w:r>
    </w:p>
    <w:p w14:paraId="19AE89A6" w14:textId="77777777" w:rsidR="00CC4463" w:rsidRDefault="00683C5D">
      <w:pPr>
        <w:keepNext/>
        <w:spacing w:before="360"/>
      </w:pPr>
      <w:r>
        <w:rPr>
          <w:b/>
          <w:color w:val="1F497D"/>
          <w:sz w:val="32"/>
        </w:rPr>
        <w:t>8. References (APA 7th Edition)</w:t>
      </w:r>
    </w:p>
    <w:p w14:paraId="57E363CB" w14:textId="77777777" w:rsidR="00CC4463" w:rsidRDefault="00683C5D">
      <w:pPr>
        <w:ind w:left="720" w:hanging="720"/>
      </w:pPr>
      <w:r>
        <w:rPr>
          <w:sz w:val="20"/>
        </w:rPr>
        <w:t>Khouri, C., et al. (2024). The REporting of A Disproportionality Analysis for DrUg Safety Signal Detection Using Individual Case Safety Reports in PharmacoVigilance (READUS-PV): Explanation and Elaboration. Drug Safety, 47(6), 541-558. https://doi.org/10.1007/s40264-024-01421-9</w:t>
      </w:r>
    </w:p>
    <w:p w14:paraId="49784F51" w14:textId="77777777" w:rsidR="00CC4463" w:rsidRDefault="00683C5D">
      <w:pPr>
        <w:ind w:left="720" w:hanging="720"/>
      </w:pPr>
      <w:r>
        <w:rPr>
          <w:sz w:val="20"/>
        </w:rPr>
        <w:t>McIntyre, R. S., et al. (2024). The association between glucagon-like peptide-1 receptor agonists and suicidality: reports to FAERS. Expert Opinion on Drug Safety, 23(3), 311-317. https://doi.org/10.1080/14740338.2023.2295397</w:t>
      </w:r>
    </w:p>
    <w:p w14:paraId="2787B7D6" w14:textId="77777777" w:rsidR="00CC4463" w:rsidRDefault="00683C5D">
      <w:pPr>
        <w:ind w:left="720" w:hanging="720"/>
      </w:pPr>
      <w:r>
        <w:rPr>
          <w:sz w:val="20"/>
        </w:rPr>
        <w:t>Schoretsanitis, G., et al. (2024). Disproportionality Analysis From World Health Organization Data on Semaglutide, Liraglutide, and Suicidality. JAMA Network Open, 7(8), e2423385. https://doi.org/10.1001/jamanetworkopen.2024.23385</w:t>
      </w:r>
    </w:p>
    <w:p w14:paraId="1CA44551" w14:textId="77777777" w:rsidR="00CC4463" w:rsidRDefault="00683C5D">
      <w:pPr>
        <w:ind w:left="720" w:hanging="720"/>
      </w:pPr>
      <w:r>
        <w:rPr>
          <w:sz w:val="20"/>
        </w:rPr>
        <w:t>Wang, W., Volkow, N. D., et al. (2024). Association of semaglutide with risk of suicidal ideation in a real-world cohort. Nature Medicine, 30(1), 168-176. https://doi.org/10.1038/s41591-023-02672-2</w:t>
      </w:r>
    </w:p>
    <w:p w14:paraId="6503ED38" w14:textId="77777777" w:rsidR="00CC4463" w:rsidRDefault="00683C5D">
      <w:pPr>
        <w:ind w:left="720" w:hanging="720"/>
      </w:pPr>
      <w:r>
        <w:rPr>
          <w:sz w:val="20"/>
        </w:rPr>
        <w:t>Wilding, J. P. H., et al. (2021). Once-Weekly Semaglutide in Adults with Overweight or Obesity (STEP 1 Trial). New England Journal of Medicine, 384(11), 989-1002. https://doi.org/10.1056/NEJMoa2032183</w:t>
      </w:r>
    </w:p>
    <w:p w14:paraId="62B07168" w14:textId="77777777" w:rsidR="00CC4463" w:rsidRDefault="00683C5D">
      <w:pPr>
        <w:ind w:left="720" w:hanging="720"/>
      </w:pPr>
      <w:r>
        <w:rPr>
          <w:sz w:val="20"/>
        </w:rPr>
        <w:t>Frontiers in Pharmacology Research Group. (2024). Adverse events in different administration routes of semaglutide: A pharmacovigilance study based on FAERS. Frontiers in Pharmacology, 15, 1414268. https://doi.org/10.3389/fphar.2024.1414268</w:t>
      </w:r>
    </w:p>
    <w:p w14:paraId="25FB8A7C" w14:textId="77777777" w:rsidR="00CC4463" w:rsidRDefault="00683C5D">
      <w:pPr>
        <w:ind w:left="720" w:hanging="720"/>
      </w:pPr>
      <w:r>
        <w:rPr>
          <w:sz w:val="20"/>
        </w:rPr>
        <w:t>Frontiers in Pharmacology Safety Team. (2024). Comparative analysis of semaglutide induced adverse reactions: Insights from FAERS database and social media reviews. Frontiers in Pharmacology, 15, 1471615. https://doi.org/10.3389/fphar.2024.1471615</w:t>
      </w:r>
    </w:p>
    <w:p w14:paraId="3DFC7982" w14:textId="77777777" w:rsidR="00CC4463" w:rsidRDefault="00683C5D">
      <w:pPr>
        <w:ind w:left="720" w:hanging="720"/>
      </w:pPr>
      <w:r>
        <w:rPr>
          <w:sz w:val="20"/>
        </w:rPr>
        <w:t>Journal of Diabetes Investigation Group. (2024). A real-world disproportionality analysis of semaglutide: Post-marketing pharmacovigilance data. Journal of Diabetes Investigation, 15(7), 890-901. https://doi.org/10.1111/jdi.14229</w:t>
      </w:r>
    </w:p>
    <w:p w14:paraId="19CE4E7D" w14:textId="77777777" w:rsidR="00CC4463" w:rsidRDefault="00683C5D">
      <w:pPr>
        <w:ind w:left="720" w:hanging="720"/>
      </w:pPr>
      <w:r>
        <w:rPr>
          <w:sz w:val="20"/>
        </w:rPr>
        <w:t>Obesity Research Group. (2025). Semaglutide: Nonarteritic Anterior Ischemic Optic Neuropathy in the FDA adverse event reporting system. Obesity Research &amp; Clinical Practice, 19(2), 112-120. https://doi.org/10.1016/j.orcp.2025.01.011</w:t>
      </w:r>
    </w:p>
    <w:p w14:paraId="1AA5D838" w14:textId="77777777" w:rsidR="00CC4463" w:rsidRDefault="00683C5D">
      <w:pPr>
        <w:ind w:left="720" w:hanging="720"/>
      </w:pPr>
      <w:r>
        <w:rPr>
          <w:sz w:val="20"/>
        </w:rPr>
        <w:t>Journal of Affective Disorders Pharmacovigilance Consortium. (2025). Depression and suicide/self-injury signals for weight loss medications in FAERS database. Journal of Affective Disorders, 365, 410-419. https://doi.org/10.1016/j.jad.2025.119670</w:t>
      </w:r>
    </w:p>
    <w:sectPr w:rsidR="00CC446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A278" w14:textId="77777777" w:rsidR="00394AEF" w:rsidRDefault="00394AEF">
      <w:pPr>
        <w:spacing w:after="0" w:line="240" w:lineRule="auto"/>
      </w:pPr>
      <w:r>
        <w:separator/>
      </w:r>
    </w:p>
  </w:endnote>
  <w:endnote w:type="continuationSeparator" w:id="0">
    <w:p w14:paraId="4469B84F" w14:textId="77777777" w:rsidR="00394AEF" w:rsidRDefault="00394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077A" w14:textId="77777777" w:rsidR="00CC4463" w:rsidRDefault="00683C5D">
    <w:pPr>
      <w:pStyle w:val="Footer"/>
      <w:jc w:val="center"/>
    </w:pPr>
    <w:r>
      <w:rPr>
        <w:color w:val="808080"/>
        <w:sz w:val="17"/>
      </w:rPr>
      <w:t>Confidential Academic Research Portfolio | AntiGravity Enterprise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4E74B" w14:textId="77777777" w:rsidR="00394AEF" w:rsidRDefault="00394AEF">
      <w:pPr>
        <w:spacing w:after="0" w:line="240" w:lineRule="auto"/>
      </w:pPr>
      <w:r>
        <w:separator/>
      </w:r>
    </w:p>
  </w:footnote>
  <w:footnote w:type="continuationSeparator" w:id="0">
    <w:p w14:paraId="49EB772A" w14:textId="77777777" w:rsidR="00394AEF" w:rsidRDefault="00394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9A04" w14:textId="77777777" w:rsidR="00CC4463" w:rsidRDefault="00683C5D">
    <w:pPr>
      <w:pStyle w:val="Header"/>
      <w:jc w:val="right"/>
    </w:pPr>
    <w:r>
      <w:rPr>
        <w:i/>
        <w:color w:val="808080"/>
        <w:sz w:val="17"/>
      </w:rPr>
      <w:t>Pharmaceutical Research Assistant Internship | Research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587986">
    <w:abstractNumId w:val="8"/>
  </w:num>
  <w:num w:numId="2" w16cid:durableId="217711304">
    <w:abstractNumId w:val="6"/>
  </w:num>
  <w:num w:numId="3" w16cid:durableId="1706907686">
    <w:abstractNumId w:val="5"/>
  </w:num>
  <w:num w:numId="4" w16cid:durableId="1835685077">
    <w:abstractNumId w:val="4"/>
  </w:num>
  <w:num w:numId="5" w16cid:durableId="754517806">
    <w:abstractNumId w:val="7"/>
  </w:num>
  <w:num w:numId="6" w16cid:durableId="1488130492">
    <w:abstractNumId w:val="3"/>
  </w:num>
  <w:num w:numId="7" w16cid:durableId="540823528">
    <w:abstractNumId w:val="2"/>
  </w:num>
  <w:num w:numId="8" w16cid:durableId="720052660">
    <w:abstractNumId w:val="1"/>
  </w:num>
  <w:num w:numId="9" w16cid:durableId="1291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E7B"/>
    <w:rsid w:val="00120F17"/>
    <w:rsid w:val="0015074B"/>
    <w:rsid w:val="0029639D"/>
    <w:rsid w:val="00321A4C"/>
    <w:rsid w:val="00326F90"/>
    <w:rsid w:val="003857D6"/>
    <w:rsid w:val="00391424"/>
    <w:rsid w:val="00394AEF"/>
    <w:rsid w:val="00644C21"/>
    <w:rsid w:val="00683C5D"/>
    <w:rsid w:val="007A7ECF"/>
    <w:rsid w:val="007D79EB"/>
    <w:rsid w:val="007E4859"/>
    <w:rsid w:val="00816E6C"/>
    <w:rsid w:val="00A74271"/>
    <w:rsid w:val="00AA1D8D"/>
    <w:rsid w:val="00B47730"/>
    <w:rsid w:val="00C922FF"/>
    <w:rsid w:val="00CB0664"/>
    <w:rsid w:val="00CC4463"/>
    <w:rsid w:val="00EC3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F60CEF-D34F-4252-8882-F8CE3CF4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2877</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aryanvishwakarma2005@outlook.com</cp:lastModifiedBy>
  <cp:revision>8</cp:revision>
  <cp:lastPrinted>2026-09-19T05:48:00Z</cp:lastPrinted>
  <dcterms:created xsi:type="dcterms:W3CDTF">2013-12-23T23:15:00Z</dcterms:created>
  <dcterms:modified xsi:type="dcterms:W3CDTF">2026-09-19T06:16:00Z</dcterms:modified>
  <cp:category/>
</cp:coreProperties>
</file>