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CDE10" w14:textId="77777777" w:rsidR="00511738" w:rsidRDefault="00511738">
      <w:pPr>
        <w:spacing w:before="720"/>
      </w:pPr>
    </w:p>
    <w:p w14:paraId="288FECD9" w14:textId="77777777" w:rsidR="00511738" w:rsidRDefault="00FC3FA8">
      <w:pPr>
        <w:spacing w:after="240"/>
      </w:pPr>
      <w:r>
        <w:rPr>
          <w:b/>
          <w:color w:val="366092"/>
          <w:sz w:val="24"/>
        </w:rPr>
        <w:t>DELIVERABLE: WEEK 2 PORTFOLIO DELIVERABLE</w:t>
      </w:r>
    </w:p>
    <w:p w14:paraId="347DFCED" w14:textId="77777777" w:rsidR="00511738" w:rsidRDefault="00FC3FA8">
      <w:pPr>
        <w:spacing w:after="240"/>
      </w:pPr>
      <w:r>
        <w:rPr>
          <w:b/>
          <w:color w:val="1F497D"/>
          <w:sz w:val="48"/>
        </w:rPr>
        <w:t>Disproportionality Analysis of Psychiatric Adverse Events with Semaglutide in FDA FAERS</w:t>
      </w:r>
    </w:p>
    <w:p w14:paraId="605CDD7F" w14:textId="77777777" w:rsidR="00511738" w:rsidRDefault="00FC3FA8">
      <w:pPr>
        <w:spacing w:after="720"/>
      </w:pPr>
      <w:r>
        <w:rPr>
          <w:i/>
          <w:sz w:val="28"/>
        </w:rPr>
        <w:t>A Comparative Pharmacovigilance Study Against SGLT2 Inhibitors (2018–2025)</w:t>
      </w:r>
    </w:p>
    <w:p w14:paraId="65AA4353" w14:textId="77777777" w:rsidR="00511738" w:rsidRDefault="00FC3FA8">
      <w:pPr>
        <w:spacing w:after="720"/>
      </w:pPr>
      <w:r>
        <w:rPr>
          <w:color w:val="366092"/>
        </w:rPr>
        <w:t>―――――――――――――――――――――――――――――――――――――――――――――</w:t>
      </w:r>
    </w:p>
    <w:p w14:paraId="4FE5C076" w14:textId="3763906B" w:rsidR="00511738" w:rsidRDefault="00FC3FA8">
      <w:pPr>
        <w:spacing w:after="960"/>
      </w:pPr>
      <w:r>
        <w:rPr>
          <w:b/>
          <w:sz w:val="21"/>
        </w:rPr>
        <w:t xml:space="preserve">Researcher: </w:t>
      </w:r>
      <w:r>
        <w:rPr>
          <w:sz w:val="21"/>
        </w:rPr>
        <w:t xml:space="preserve"> </w:t>
      </w:r>
      <w:r w:rsidR="006E7F49">
        <w:rPr>
          <w:sz w:val="21"/>
        </w:rPr>
        <w:t>Narendra</w:t>
      </w:r>
      <w:r>
        <w:rPr>
          <w:sz w:val="21"/>
        </w:rPr>
        <w:br/>
      </w:r>
      <w:r>
        <w:rPr>
          <w:b/>
          <w:sz w:val="21"/>
        </w:rPr>
        <w:t xml:space="preserve">Role: </w:t>
      </w:r>
      <w:r>
        <w:rPr>
          <w:sz w:val="21"/>
        </w:rPr>
        <w:t>Pharmaceutical Research Assistant</w:t>
      </w:r>
      <w:r>
        <w:rPr>
          <w:sz w:val="21"/>
        </w:rPr>
        <w:br/>
      </w:r>
      <w:r>
        <w:rPr>
          <w:b/>
          <w:sz w:val="21"/>
        </w:rPr>
        <w:t xml:space="preserve">Institution / Internship: </w:t>
      </w:r>
      <w:r>
        <w:rPr>
          <w:sz w:val="21"/>
        </w:rPr>
        <w:t>Pharmaceutical Research Assistant Internship</w:t>
      </w:r>
      <w:r>
        <w:rPr>
          <w:sz w:val="21"/>
        </w:rPr>
        <w:br/>
      </w:r>
      <w:r>
        <w:rPr>
          <w:b/>
          <w:sz w:val="21"/>
        </w:rPr>
        <w:t xml:space="preserve">Date: </w:t>
      </w:r>
      <w:r>
        <w:rPr>
          <w:sz w:val="21"/>
        </w:rPr>
        <w:t>September 2026</w:t>
      </w:r>
      <w:r>
        <w:rPr>
          <w:sz w:val="21"/>
        </w:rPr>
        <w:br/>
      </w:r>
      <w:r>
        <w:rPr>
          <w:b/>
          <w:sz w:val="21"/>
        </w:rPr>
        <w:t xml:space="preserve">Citation Style: </w:t>
      </w:r>
      <w:r>
        <w:rPr>
          <w:sz w:val="21"/>
        </w:rPr>
        <w:t>American Psychological Association (APA) 7th Edition</w:t>
      </w:r>
      <w:r>
        <w:rPr>
          <w:sz w:val="21"/>
        </w:rPr>
        <w:br/>
      </w:r>
    </w:p>
    <w:p w14:paraId="3C154BA1" w14:textId="77777777" w:rsidR="00511738" w:rsidRDefault="00FC3FA8">
      <w:r>
        <w:br w:type="page"/>
      </w:r>
    </w:p>
    <w:p w14:paraId="18033463" w14:textId="77777777" w:rsidR="00511738" w:rsidRDefault="00FC3FA8">
      <w:pPr>
        <w:keepNext/>
        <w:spacing w:before="360"/>
      </w:pPr>
      <w:r>
        <w:rPr>
          <w:b/>
          <w:color w:val="1F497D"/>
          <w:sz w:val="32"/>
        </w:rPr>
        <w:lastRenderedPageBreak/>
        <w:t>Table of Contents</w:t>
      </w:r>
    </w:p>
    <w:p w14:paraId="4DFD65B9" w14:textId="77777777" w:rsidR="00511738" w:rsidRDefault="00FC3FA8">
      <w:pPr>
        <w:spacing w:after="40"/>
      </w:pPr>
      <w:r>
        <w:rPr>
          <w:b/>
          <w:color w:val="1F497D"/>
          <w:sz w:val="21"/>
        </w:rPr>
        <w:t>1. Executive Summary</w:t>
      </w:r>
    </w:p>
    <w:p w14:paraId="0D34470C" w14:textId="77777777" w:rsidR="00511738" w:rsidRDefault="00FC3FA8">
      <w:pPr>
        <w:spacing w:after="40"/>
      </w:pPr>
      <w:r>
        <w:rPr>
          <w:b/>
          <w:color w:val="1F497D"/>
          <w:sz w:val="21"/>
        </w:rPr>
        <w:t>2. Pharmacovigilance Framework &amp; Research Rationale</w:t>
      </w:r>
    </w:p>
    <w:p w14:paraId="29964CDC" w14:textId="77777777" w:rsidR="00511738" w:rsidRDefault="00FC3FA8">
      <w:pPr>
        <w:spacing w:after="40"/>
      </w:pPr>
      <w:r>
        <w:rPr>
          <w:b/>
          <w:color w:val="1F497D"/>
          <w:sz w:val="21"/>
        </w:rPr>
        <w:t>3. Data Collection &amp; Preprocessing Methodology</w:t>
      </w:r>
    </w:p>
    <w:p w14:paraId="060F61ED" w14:textId="77777777" w:rsidR="00511738" w:rsidRDefault="00FC3FA8">
      <w:pPr>
        <w:spacing w:after="40"/>
      </w:pPr>
      <w:r>
        <w:rPr>
          <w:sz w:val="21"/>
        </w:rPr>
        <w:t xml:space="preserve">    3.1 Data Source: FDA Adverse Event Reporting System (FAERS)</w:t>
      </w:r>
    </w:p>
    <w:p w14:paraId="172C77F3" w14:textId="77777777" w:rsidR="00511738" w:rsidRDefault="00FC3FA8">
      <w:pPr>
        <w:spacing w:after="40"/>
      </w:pPr>
      <w:r>
        <w:rPr>
          <w:sz w:val="21"/>
        </w:rPr>
        <w:t xml:space="preserve">    3.2 Query Strategy and OpenFDA Extraction</w:t>
      </w:r>
    </w:p>
    <w:p w14:paraId="20025742" w14:textId="77777777" w:rsidR="00511738" w:rsidRDefault="00FC3FA8">
      <w:pPr>
        <w:spacing w:after="40"/>
      </w:pPr>
      <w:r>
        <w:rPr>
          <w:sz w:val="21"/>
        </w:rPr>
        <w:t xml:space="preserve">    3.3 Data Cleaning, Quality Assurance, and Data Dictionary</w:t>
      </w:r>
    </w:p>
    <w:p w14:paraId="14DA3860" w14:textId="77777777" w:rsidR="00511738" w:rsidRDefault="00FC3FA8">
      <w:pPr>
        <w:spacing w:after="40"/>
      </w:pPr>
      <w:r>
        <w:rPr>
          <w:b/>
          <w:color w:val="1F497D"/>
          <w:sz w:val="21"/>
        </w:rPr>
        <w:t>4. Statistical Analysis Methodology</w:t>
      </w:r>
    </w:p>
    <w:p w14:paraId="12B17399" w14:textId="77777777" w:rsidR="00511738" w:rsidRDefault="00FC3FA8">
      <w:pPr>
        <w:spacing w:after="40"/>
      </w:pPr>
      <w:r>
        <w:rPr>
          <w:sz w:val="21"/>
        </w:rPr>
        <w:t xml:space="preserve">    4.1 Descriptive Analysis and Event Rates</w:t>
      </w:r>
    </w:p>
    <w:p w14:paraId="3CAC7B51" w14:textId="77777777" w:rsidR="00511738" w:rsidRDefault="00FC3FA8">
      <w:pPr>
        <w:spacing w:after="40"/>
      </w:pPr>
      <w:r>
        <w:rPr>
          <w:sz w:val="21"/>
        </w:rPr>
        <w:t xml:space="preserve">    4.2 Disproportionality Metrics (ROR, PRR, Chi-Square)</w:t>
      </w:r>
    </w:p>
    <w:p w14:paraId="400397E2" w14:textId="77777777" w:rsidR="00511738" w:rsidRDefault="00FC3FA8">
      <w:pPr>
        <w:spacing w:after="40"/>
      </w:pPr>
      <w:r>
        <w:rPr>
          <w:sz w:val="21"/>
        </w:rPr>
        <w:t xml:space="preserve">    4.3 Signal Detection Threshold Criteria</w:t>
      </w:r>
    </w:p>
    <w:p w14:paraId="64E6A18D" w14:textId="77777777" w:rsidR="00511738" w:rsidRDefault="00FC3FA8">
      <w:pPr>
        <w:spacing w:after="40"/>
      </w:pPr>
      <w:r>
        <w:rPr>
          <w:b/>
          <w:color w:val="1F497D"/>
          <w:sz w:val="21"/>
        </w:rPr>
        <w:t>5. Empirical Results</w:t>
      </w:r>
    </w:p>
    <w:p w14:paraId="7ED08000" w14:textId="77777777" w:rsidR="00511738" w:rsidRDefault="00FC3FA8">
      <w:pPr>
        <w:spacing w:after="40"/>
      </w:pPr>
      <w:r>
        <w:rPr>
          <w:sz w:val="21"/>
        </w:rPr>
        <w:t xml:space="preserve">    5.1 Total Reporting Volume and Baseline Comparisons</w:t>
      </w:r>
    </w:p>
    <w:p w14:paraId="1FCB81C7" w14:textId="77777777" w:rsidR="00511738" w:rsidRDefault="00FC3FA8">
      <w:pPr>
        <w:spacing w:after="40"/>
      </w:pPr>
      <w:r>
        <w:rPr>
          <w:sz w:val="21"/>
        </w:rPr>
        <w:t xml:space="preserve">    5.2 2x2 Contingency Tables and Metric Computation</w:t>
      </w:r>
    </w:p>
    <w:p w14:paraId="5D3E79D8" w14:textId="77777777" w:rsidR="00511738" w:rsidRDefault="00FC3FA8">
      <w:pPr>
        <w:spacing w:after="40"/>
      </w:pPr>
      <w:r>
        <w:rPr>
          <w:sz w:val="21"/>
        </w:rPr>
        <w:t xml:space="preserve">    5.3 Identified Pharmacovigilance Signals</w:t>
      </w:r>
    </w:p>
    <w:p w14:paraId="40D54968" w14:textId="77777777" w:rsidR="00511738" w:rsidRDefault="00FC3FA8">
      <w:pPr>
        <w:spacing w:after="40"/>
      </w:pPr>
      <w:r>
        <w:rPr>
          <w:b/>
          <w:color w:val="1F497D"/>
          <w:sz w:val="21"/>
        </w:rPr>
        <w:t>6. High-Resolution Visualizations and Figure Interpretations</w:t>
      </w:r>
    </w:p>
    <w:p w14:paraId="516DF0E0" w14:textId="77777777" w:rsidR="00511738" w:rsidRDefault="00FC3FA8">
      <w:pPr>
        <w:spacing w:after="40"/>
      </w:pPr>
      <w:r>
        <w:rPr>
          <w:sz w:val="21"/>
        </w:rPr>
        <w:t xml:space="preserve">    6.1 Figure 1: Total Adverse Event Reports by Drug Class</w:t>
      </w:r>
    </w:p>
    <w:p w14:paraId="01BE8FE7" w14:textId="77777777" w:rsidR="00511738" w:rsidRDefault="00FC3FA8">
      <w:pPr>
        <w:spacing w:after="40"/>
      </w:pPr>
      <w:r>
        <w:rPr>
          <w:sz w:val="21"/>
        </w:rPr>
        <w:t xml:space="preserve">    6.2 Figure 2: Frequency Distribution of Psychiatric ADRs for Semaglutide</w:t>
      </w:r>
    </w:p>
    <w:p w14:paraId="06A3522F" w14:textId="77777777" w:rsidR="00511738" w:rsidRDefault="00FC3FA8">
      <w:pPr>
        <w:spacing w:after="40"/>
      </w:pPr>
      <w:r>
        <w:rPr>
          <w:sz w:val="21"/>
        </w:rPr>
        <w:t xml:space="preserve">    6.3 Figure 3: Reporting Odds Ratio Forest Plot with 95% Confidence Intervals</w:t>
      </w:r>
    </w:p>
    <w:p w14:paraId="42949092" w14:textId="77777777" w:rsidR="00511738" w:rsidRDefault="00FC3FA8">
      <w:pPr>
        <w:spacing w:after="40"/>
      </w:pPr>
      <w:r>
        <w:rPr>
          <w:sz w:val="21"/>
        </w:rPr>
        <w:t xml:space="preserve">    6.4 Figure 4: Comparative Reporting Rates per 10,000 Total Reports</w:t>
      </w:r>
    </w:p>
    <w:p w14:paraId="587B040D" w14:textId="77777777" w:rsidR="00511738" w:rsidRDefault="00FC3FA8">
      <w:pPr>
        <w:spacing w:after="40"/>
      </w:pPr>
      <w:r>
        <w:rPr>
          <w:sz w:val="21"/>
        </w:rPr>
        <w:t xml:space="preserve">    6.5 Figure 5: Proportional Share of Psychiatric System Organ Classes</w:t>
      </w:r>
    </w:p>
    <w:p w14:paraId="02573B2C" w14:textId="77777777" w:rsidR="00511738" w:rsidRDefault="00FC3FA8">
      <w:pPr>
        <w:spacing w:after="40"/>
      </w:pPr>
      <w:r>
        <w:rPr>
          <w:sz w:val="21"/>
        </w:rPr>
        <w:t xml:space="preserve">    6.6 Figure 6: Longitudinal Reporting Trends (2018-2025)</w:t>
      </w:r>
    </w:p>
    <w:p w14:paraId="6785AF4B" w14:textId="77777777" w:rsidR="00511738" w:rsidRDefault="00FC3FA8">
      <w:pPr>
        <w:spacing w:after="40"/>
      </w:pPr>
      <w:r>
        <w:rPr>
          <w:sz w:val="21"/>
        </w:rPr>
        <w:t xml:space="preserve">    6.7 Figure 7: Signal Strength Heatmap across MedDRA Terms</w:t>
      </w:r>
    </w:p>
    <w:p w14:paraId="0EA2C5D0" w14:textId="77777777" w:rsidR="00511738" w:rsidRDefault="00FC3FA8">
      <w:pPr>
        <w:spacing w:after="40"/>
      </w:pPr>
      <w:r>
        <w:rPr>
          <w:sz w:val="21"/>
        </w:rPr>
        <w:t xml:space="preserve">    6.8 Figure 8: Serious Outcome Distribution in Psychiatric ADRs</w:t>
      </w:r>
    </w:p>
    <w:p w14:paraId="158B86D2" w14:textId="77777777" w:rsidR="00511738" w:rsidRDefault="00FC3FA8">
      <w:pPr>
        <w:spacing w:after="40"/>
      </w:pPr>
      <w:r>
        <w:rPr>
          <w:b/>
          <w:color w:val="1F497D"/>
          <w:sz w:val="21"/>
        </w:rPr>
        <w:t>7. Methodological Discussion, Bias Evaluation, and Study Limitations</w:t>
      </w:r>
    </w:p>
    <w:p w14:paraId="24BFD9FE" w14:textId="77777777" w:rsidR="00511738" w:rsidRDefault="00FC3FA8">
      <w:pPr>
        <w:spacing w:after="40"/>
      </w:pPr>
      <w:r>
        <w:rPr>
          <w:b/>
          <w:color w:val="1F497D"/>
          <w:sz w:val="21"/>
        </w:rPr>
        <w:t>8. Clinical and Regulatory Recommendations</w:t>
      </w:r>
    </w:p>
    <w:p w14:paraId="6F1AA57C" w14:textId="77777777" w:rsidR="00511738" w:rsidRDefault="00FC3FA8">
      <w:pPr>
        <w:spacing w:after="40"/>
      </w:pPr>
      <w:r>
        <w:rPr>
          <w:b/>
          <w:color w:val="1F497D"/>
          <w:sz w:val="21"/>
        </w:rPr>
        <w:t>9. References (APA 7th Edition)</w:t>
      </w:r>
    </w:p>
    <w:p w14:paraId="6C4B796F" w14:textId="77777777" w:rsidR="00511738" w:rsidRDefault="00FC3FA8">
      <w:r>
        <w:br w:type="page"/>
      </w:r>
    </w:p>
    <w:p w14:paraId="267E8D0A" w14:textId="77777777" w:rsidR="00511738" w:rsidRDefault="00FC3FA8">
      <w:pPr>
        <w:keepNext/>
        <w:spacing w:before="360"/>
      </w:pPr>
      <w:r>
        <w:rPr>
          <w:b/>
          <w:color w:val="1F497D"/>
          <w:sz w:val="32"/>
        </w:rPr>
        <w:lastRenderedPageBreak/>
        <w:t>1. Executive Summary</w:t>
      </w:r>
    </w:p>
    <w:p w14:paraId="5FF579E5" w14:textId="77777777" w:rsidR="00511738" w:rsidRDefault="00FC3FA8">
      <w:r>
        <w:t>This Week 2 quantitative pharmacovigilance report investigates post-marketing spontaneous adverse event reports for semaglutide (Ozempic, Wegovy, Rybelsus) compared to an active comparator class of sodium-glucose cotransporter-2 (SGLT2) inhibitors (Empagliflozin, Dapagliflozin, Canagliflozin) within the FDA Adverse Event Reporting System (FAERS) database spanning 2018 to 2025.</w:t>
      </w:r>
    </w:p>
    <w:p w14:paraId="6752280C" w14:textId="77777777" w:rsidR="00511738" w:rsidRDefault="00FC3FA8">
      <w:r>
        <w:t>Analyzing 100,912 total adverse event reports for semaglutide and 47,266 reports for SGLT2 inhibitors, we conducted disproportionality analyses across seven MedDRA preferred terms: Depression, Depressed Mood, Suicidal Ideation, Suicide Attempt, Anxiety, Insomnia, and Panic Attack. Applying internationally harmonized signal detection criteria (lower 95% CI of ROR &gt; 1.0, PRR &gt;= 2.0, Chi-square &gt;= 4.0, N &gt;= 3), statistically significant disproportionality signals were detected for three neuropsychiatric categories:</w:t>
      </w:r>
    </w:p>
    <w:p w14:paraId="55D736BD" w14:textId="77777777" w:rsidR="00511738" w:rsidRDefault="00FC3FA8">
      <w:r>
        <w:t>1. Suicidal Ideation: ROR = 2.61 (95% CI: 2.18–3.12, PRR = 2.60, Chi-square = 116.35, p = 3.98e-27, Signal = YES)</w:t>
      </w:r>
      <w:r>
        <w:br/>
        <w:t>2. Panic Attack: ROR = 4.40 (95% CI: 2.96–6.54, PRR = 4.39, Chi-square = 62.94, p = 2.13e-15, Signal = YES)</w:t>
      </w:r>
      <w:r>
        <w:br/>
        <w:t>3. Depressed Mood: ROR = 2.11 (95% CI: 1.72–2.58, PRR = 2.10, Chi-square = 54.23, p = 1.78e-13, Signal = YES)</w:t>
      </w:r>
    </w:p>
    <w:p w14:paraId="3C5BDD75" w14:textId="77777777" w:rsidR="00511738" w:rsidRDefault="00FC3FA8">
      <w:r>
        <w:t>Conversely, Suicide Attempt (ROR = 0.67, 95% CI: 0.50–0.90) and Insomnia (ROR = 0.96, 95% CI: 0.87–1.05) exhibited no disproportional signal. General Anxiety (ROR = 1.40) and Depression (ROR = 1.64) demonstrated elevated reporting odds but failed the strict PRR &gt;= 2.0 threshold. These findings establish genuine safety signals in spontaneous reporting but require careful contextualization regarding stimulated reporting and notoriety bias.</w:t>
      </w:r>
    </w:p>
    <w:p w14:paraId="2B4BA174" w14:textId="77777777" w:rsidR="00511738" w:rsidRDefault="00FC3FA8">
      <w:pPr>
        <w:spacing w:before="120" w:after="160"/>
        <w:ind w:left="432" w:right="432"/>
      </w:pPr>
      <w:r>
        <w:rPr>
          <w:b/>
          <w:color w:val="1F497D"/>
        </w:rPr>
        <w:t xml:space="preserve">[NOTE] </w:t>
      </w:r>
      <w:r>
        <w:rPr>
          <w:i/>
        </w:rPr>
        <w:t>Statistical Conclusion: Semaglutide exhibits statistically robust disproportionality for suicidal ideation, panic attacks, and depressed mood relative to active SGLT2i comparators in FAERS. While disproportionality does not establish causation, it triggers mandatory regulatory surveillance and warrants prospective active cohort validation.</w:t>
      </w:r>
    </w:p>
    <w:p w14:paraId="0F7DB1B7" w14:textId="77777777" w:rsidR="00511738" w:rsidRDefault="00FC3FA8">
      <w:pPr>
        <w:keepNext/>
        <w:spacing w:before="360"/>
      </w:pPr>
      <w:r>
        <w:rPr>
          <w:b/>
          <w:color w:val="1F497D"/>
          <w:sz w:val="32"/>
        </w:rPr>
        <w:t>2. Pharmacovigilance Framework &amp; Research Rationale</w:t>
      </w:r>
    </w:p>
    <w:p w14:paraId="64177366" w14:textId="77777777" w:rsidR="00511738" w:rsidRDefault="00FC3FA8">
      <w:r>
        <w:t>Spontaneous adverse event reporting systems represent the principal mechanism for detecting post-marketing drug safety issues. However, analyzing spontaneous data without an active comparator invites severe indication bias. In diabetes and obesity management, patients frequently present with underlying neuropsychiatric comorbidities. By contrasting semaglutide with SGLT2 inhibitors—medications prescribed for the same primary indication (type 2 diabetes) and patient demographic—we effectively control for baseline metabolic comorbidity, enabling more specific assessment of drug-associated disproportionality.</w:t>
      </w:r>
    </w:p>
    <w:p w14:paraId="72B2F98D" w14:textId="77777777" w:rsidR="00511738" w:rsidRDefault="00FC3FA8">
      <w:pPr>
        <w:keepNext/>
        <w:spacing w:before="360"/>
      </w:pPr>
      <w:r>
        <w:rPr>
          <w:b/>
          <w:color w:val="1F497D"/>
          <w:sz w:val="32"/>
        </w:rPr>
        <w:t>3. Data Collection &amp; Preprocessing Methodology</w:t>
      </w:r>
    </w:p>
    <w:p w14:paraId="571C8CD5" w14:textId="77777777" w:rsidR="00511738" w:rsidRDefault="00FC3FA8">
      <w:pPr>
        <w:keepNext/>
        <w:spacing w:before="240" w:after="80"/>
      </w:pPr>
      <w:r>
        <w:rPr>
          <w:b/>
          <w:color w:val="366092"/>
          <w:sz w:val="26"/>
        </w:rPr>
        <w:t>3.1 Data Source: FDA Adverse Event Reporting System (FAERS)</w:t>
      </w:r>
    </w:p>
    <w:p w14:paraId="7D53B5E5" w14:textId="77777777" w:rsidR="00511738" w:rsidRDefault="00FC3FA8">
      <w:r>
        <w:t xml:space="preserve">Data were extracted via the OpenFDA API (https://api.fda.gov/drug/event.json) and cross-referenced against published aggregate FAERS data files covering January 1, 2018 through mid-2025. FAERS </w:t>
      </w:r>
      <w:r>
        <w:lastRenderedPageBreak/>
        <w:t>captures spontaneous reports submitted by healthcare professionals, consumers, and pharmaceutical manufacturers globally.</w:t>
      </w:r>
    </w:p>
    <w:p w14:paraId="0F760F53" w14:textId="77777777" w:rsidR="00511738" w:rsidRDefault="00FC3FA8">
      <w:pPr>
        <w:keepNext/>
        <w:spacing w:before="240" w:after="80"/>
      </w:pPr>
      <w:r>
        <w:rPr>
          <w:b/>
          <w:color w:val="366092"/>
          <w:sz w:val="26"/>
        </w:rPr>
        <w:t>3.2 Query Strategy and OpenFDA Extraction</w:t>
      </w:r>
    </w:p>
    <w:p w14:paraId="3F36A3D1" w14:textId="77777777" w:rsidR="00511738" w:rsidRDefault="00FC3FA8">
      <w:r>
        <w:t>A multi-tiered query pipeline was executed using Python requests scripts (`data_collection.py`):</w:t>
      </w:r>
      <w:r>
        <w:br/>
        <w:t>• Target Drug Class: Search strings `patient.drug.medicinalproduct:('semaglutide' OR 'ozempic' OR 'wegovy' OR 'rybelsus')` with `patient.drug.drugcharacterization:1` (Primary Suspect).</w:t>
      </w:r>
      <w:r>
        <w:br/>
        <w:t>• Active Comparator Class: Search strings `patient.drug.medicinalproduct:('empagliflozin' OR 'dapagliflozin' OR 'canagliflozin' OR 'jardiance' OR 'farxiga' OR 'invokana')` with Primary Suspect designation.</w:t>
      </w:r>
      <w:r>
        <w:br/>
        <w:t>• Adverse Event Terms: Exact MedDRA preferred terms under System Organ Class (SOC) 'Psychiatric disorders'.</w:t>
      </w:r>
    </w:p>
    <w:p w14:paraId="2E375966" w14:textId="77777777" w:rsidR="00511738" w:rsidRDefault="00FC3FA8">
      <w:pPr>
        <w:keepNext/>
        <w:spacing w:before="240" w:after="80"/>
      </w:pPr>
      <w:r>
        <w:rPr>
          <w:b/>
          <w:color w:val="366092"/>
          <w:sz w:val="26"/>
        </w:rPr>
        <w:t>3.3 Data Cleaning, Quality Assurance, and Data Dictionary</w:t>
      </w:r>
    </w:p>
    <w:p w14:paraId="1C6D7B0B" w14:textId="77777777" w:rsidR="00511738" w:rsidRDefault="00FC3FA8">
      <w:r>
        <w:t>Data cleaning adhered to ICH E2B standards (`data_cleaning.py`). The pipeline verified zero missing values across critical fields, enforced case deduplication on standardized Case IDs, validated integer counts, and computed non-target event frequencies (non_adr_count) for contingency table construction. The processed data file (`processed_faers_data.csv`) was locked and validated with automated unit checks.</w:t>
      </w:r>
    </w:p>
    <w:p w14:paraId="2F16186F" w14:textId="77777777" w:rsidR="00511738" w:rsidRDefault="00FC3FA8">
      <w:pPr>
        <w:keepNext/>
        <w:spacing w:before="360"/>
      </w:pPr>
      <w:r>
        <w:rPr>
          <w:b/>
          <w:color w:val="1F497D"/>
          <w:sz w:val="32"/>
        </w:rPr>
        <w:t>4. Statistical Analysis Methodology</w:t>
      </w:r>
    </w:p>
    <w:p w14:paraId="7DB42014" w14:textId="77777777" w:rsidR="00511738" w:rsidRDefault="00FC3FA8">
      <w:r>
        <w:t>Disproportionality analysis tests whether a specific adverse event is reported more frequently in association with a drug of interest compared to a control group of drugs. For each psychiatric ADR term, a 2x2 contingency table was constructed:</w:t>
      </w:r>
    </w:p>
    <w:tbl>
      <w:tblPr>
        <w:tblW w:w="0" w:type="auto"/>
        <w:jc w:val="center"/>
        <w:tblBorders>
          <w:top w:val="single" w:sz="6" w:space="0" w:color="CCCCCC"/>
          <w:bottom w:val="single" w:sz="8" w:space="0" w:color="1F497D"/>
          <w:insideH w:val="single" w:sz="4" w:space="0" w:color="E0E0E0"/>
        </w:tblBorders>
        <w:tblLook w:val="04A0" w:firstRow="1" w:lastRow="0" w:firstColumn="1" w:lastColumn="0" w:noHBand="0" w:noVBand="1"/>
      </w:tblPr>
      <w:tblGrid>
        <w:gridCol w:w="3600"/>
        <w:gridCol w:w="2880"/>
        <w:gridCol w:w="2880"/>
      </w:tblGrid>
      <w:tr w:rsidR="00511738" w14:paraId="37DB3EE2" w14:textId="77777777">
        <w:trPr>
          <w:jc w:val="center"/>
        </w:trPr>
        <w:tc>
          <w:tcPr>
            <w:tcW w:w="3600" w:type="dxa"/>
            <w:shd w:val="clear" w:color="auto" w:fill="1F497D"/>
            <w:tcMar>
              <w:top w:w="140" w:type="dxa"/>
              <w:left w:w="180" w:type="dxa"/>
              <w:bottom w:w="140" w:type="dxa"/>
              <w:right w:w="180" w:type="dxa"/>
            </w:tcMar>
            <w:vAlign w:val="center"/>
          </w:tcPr>
          <w:p w14:paraId="023FA398" w14:textId="77777777" w:rsidR="00511738" w:rsidRDefault="00FC3FA8">
            <w:r>
              <w:rPr>
                <w:b/>
                <w:color w:val="FFFFFF"/>
                <w:sz w:val="20"/>
              </w:rPr>
              <w:t>Reporting Stratum</w:t>
            </w:r>
          </w:p>
        </w:tc>
        <w:tc>
          <w:tcPr>
            <w:tcW w:w="2880" w:type="dxa"/>
            <w:shd w:val="clear" w:color="auto" w:fill="1F497D"/>
            <w:tcMar>
              <w:top w:w="140" w:type="dxa"/>
              <w:left w:w="180" w:type="dxa"/>
              <w:bottom w:w="140" w:type="dxa"/>
              <w:right w:w="180" w:type="dxa"/>
            </w:tcMar>
            <w:vAlign w:val="center"/>
          </w:tcPr>
          <w:p w14:paraId="5E73A94D" w14:textId="77777777" w:rsidR="00511738" w:rsidRDefault="00FC3FA8">
            <w:r>
              <w:rPr>
                <w:b/>
                <w:color w:val="FFFFFF"/>
                <w:sz w:val="20"/>
              </w:rPr>
              <w:t>Target Psychiatric ADR</w:t>
            </w:r>
          </w:p>
        </w:tc>
        <w:tc>
          <w:tcPr>
            <w:tcW w:w="2880" w:type="dxa"/>
            <w:shd w:val="clear" w:color="auto" w:fill="1F497D"/>
            <w:tcMar>
              <w:top w:w="140" w:type="dxa"/>
              <w:left w:w="180" w:type="dxa"/>
              <w:bottom w:w="140" w:type="dxa"/>
              <w:right w:w="180" w:type="dxa"/>
            </w:tcMar>
            <w:vAlign w:val="center"/>
          </w:tcPr>
          <w:p w14:paraId="1632D9D3" w14:textId="77777777" w:rsidR="00511738" w:rsidRDefault="00FC3FA8">
            <w:r>
              <w:rPr>
                <w:b/>
                <w:color w:val="FFFFFF"/>
                <w:sz w:val="20"/>
              </w:rPr>
              <w:t>All Other Reported ADRs</w:t>
            </w:r>
          </w:p>
        </w:tc>
      </w:tr>
      <w:tr w:rsidR="00511738" w14:paraId="28CDF75B" w14:textId="77777777">
        <w:trPr>
          <w:jc w:val="center"/>
        </w:trPr>
        <w:tc>
          <w:tcPr>
            <w:tcW w:w="3600" w:type="dxa"/>
            <w:shd w:val="clear" w:color="auto" w:fill="F2F4F7"/>
            <w:tcMar>
              <w:top w:w="100" w:type="dxa"/>
              <w:left w:w="150" w:type="dxa"/>
              <w:bottom w:w="100" w:type="dxa"/>
              <w:right w:w="150" w:type="dxa"/>
            </w:tcMar>
            <w:vAlign w:val="center"/>
          </w:tcPr>
          <w:p w14:paraId="710825A9" w14:textId="77777777" w:rsidR="00511738" w:rsidRDefault="00FC3FA8">
            <w:r>
              <w:rPr>
                <w:sz w:val="19"/>
              </w:rPr>
              <w:t>Semaglutide (Exposed)</w:t>
            </w:r>
          </w:p>
        </w:tc>
        <w:tc>
          <w:tcPr>
            <w:tcW w:w="2880" w:type="dxa"/>
            <w:shd w:val="clear" w:color="auto" w:fill="F2F4F7"/>
            <w:tcMar>
              <w:top w:w="100" w:type="dxa"/>
              <w:left w:w="150" w:type="dxa"/>
              <w:bottom w:w="100" w:type="dxa"/>
              <w:right w:w="150" w:type="dxa"/>
            </w:tcMar>
            <w:vAlign w:val="center"/>
          </w:tcPr>
          <w:p w14:paraId="6099C21F" w14:textId="77777777" w:rsidR="00511738" w:rsidRDefault="00FC3FA8">
            <w:r>
              <w:rPr>
                <w:sz w:val="19"/>
              </w:rPr>
              <w:t>a (Target Event with Sema)</w:t>
            </w:r>
          </w:p>
        </w:tc>
        <w:tc>
          <w:tcPr>
            <w:tcW w:w="2880" w:type="dxa"/>
            <w:shd w:val="clear" w:color="auto" w:fill="F2F4F7"/>
            <w:tcMar>
              <w:top w:w="100" w:type="dxa"/>
              <w:left w:w="150" w:type="dxa"/>
              <w:bottom w:w="100" w:type="dxa"/>
              <w:right w:w="150" w:type="dxa"/>
            </w:tcMar>
            <w:vAlign w:val="center"/>
          </w:tcPr>
          <w:p w14:paraId="05B917AD" w14:textId="77777777" w:rsidR="00511738" w:rsidRDefault="00FC3FA8">
            <w:r>
              <w:rPr>
                <w:sz w:val="19"/>
              </w:rPr>
              <w:t>b (Non-Target Events with Sema)</w:t>
            </w:r>
          </w:p>
        </w:tc>
      </w:tr>
      <w:tr w:rsidR="00511738" w14:paraId="4D30575E" w14:textId="77777777">
        <w:trPr>
          <w:jc w:val="center"/>
        </w:trPr>
        <w:tc>
          <w:tcPr>
            <w:tcW w:w="3600" w:type="dxa"/>
            <w:shd w:val="clear" w:color="auto" w:fill="FFFFFF"/>
            <w:tcMar>
              <w:top w:w="100" w:type="dxa"/>
              <w:left w:w="150" w:type="dxa"/>
              <w:bottom w:w="100" w:type="dxa"/>
              <w:right w:w="150" w:type="dxa"/>
            </w:tcMar>
            <w:vAlign w:val="center"/>
          </w:tcPr>
          <w:p w14:paraId="009717AF" w14:textId="77777777" w:rsidR="00511738" w:rsidRDefault="00FC3FA8">
            <w:r>
              <w:rPr>
                <w:sz w:val="19"/>
              </w:rPr>
              <w:t>SGLT2 Inhibitors (Control)</w:t>
            </w:r>
          </w:p>
        </w:tc>
        <w:tc>
          <w:tcPr>
            <w:tcW w:w="2880" w:type="dxa"/>
            <w:shd w:val="clear" w:color="auto" w:fill="FFFFFF"/>
            <w:tcMar>
              <w:top w:w="100" w:type="dxa"/>
              <w:left w:w="150" w:type="dxa"/>
              <w:bottom w:w="100" w:type="dxa"/>
              <w:right w:w="150" w:type="dxa"/>
            </w:tcMar>
            <w:vAlign w:val="center"/>
          </w:tcPr>
          <w:p w14:paraId="3F743BD6" w14:textId="77777777" w:rsidR="00511738" w:rsidRDefault="00FC3FA8">
            <w:r>
              <w:rPr>
                <w:sz w:val="19"/>
              </w:rPr>
              <w:t>c (Target Event with SGLT2i)</w:t>
            </w:r>
          </w:p>
        </w:tc>
        <w:tc>
          <w:tcPr>
            <w:tcW w:w="2880" w:type="dxa"/>
            <w:shd w:val="clear" w:color="auto" w:fill="FFFFFF"/>
            <w:tcMar>
              <w:top w:w="100" w:type="dxa"/>
              <w:left w:w="150" w:type="dxa"/>
              <w:bottom w:w="100" w:type="dxa"/>
              <w:right w:w="150" w:type="dxa"/>
            </w:tcMar>
            <w:vAlign w:val="center"/>
          </w:tcPr>
          <w:p w14:paraId="69286179" w14:textId="77777777" w:rsidR="00511738" w:rsidRDefault="00FC3FA8">
            <w:r>
              <w:rPr>
                <w:sz w:val="19"/>
              </w:rPr>
              <w:t>d (Non-Target Events with SGLT2i)</w:t>
            </w:r>
          </w:p>
        </w:tc>
      </w:tr>
    </w:tbl>
    <w:p w14:paraId="52948704" w14:textId="77777777" w:rsidR="00511738" w:rsidRDefault="00511738"/>
    <w:p w14:paraId="270C8470" w14:textId="77777777" w:rsidR="00511738" w:rsidRDefault="00FC3FA8">
      <w:pPr>
        <w:keepNext/>
        <w:spacing w:before="240" w:after="80"/>
      </w:pPr>
      <w:r>
        <w:rPr>
          <w:b/>
          <w:color w:val="366092"/>
          <w:sz w:val="26"/>
        </w:rPr>
        <w:t>4.2 Mathematical Formulas</w:t>
      </w:r>
    </w:p>
    <w:p w14:paraId="26418A51" w14:textId="77777777" w:rsidR="00511738" w:rsidRDefault="00FC3FA8">
      <w:r>
        <w:t>• Reporting Odds Ratio (ROR):</w:t>
      </w:r>
    </w:p>
    <w:p w14:paraId="3B63FFCC" w14:textId="77777777" w:rsidR="00511738" w:rsidRDefault="00FC3FA8">
      <w:r>
        <w:t xml:space="preserve">    ROR = (a / b) / (c / d) = (a * d) / (b * c)</w:t>
      </w:r>
    </w:p>
    <w:p w14:paraId="0658FBB2" w14:textId="77777777" w:rsidR="00511738" w:rsidRDefault="00FC3FA8">
      <w:r>
        <w:t xml:space="preserve">    95% CI for ROR = exp[ ln(ROR) ± 1.96 * sqrt(1/a + 1/b + 1/c + 1/d) ]</w:t>
      </w:r>
    </w:p>
    <w:p w14:paraId="1EBC9330" w14:textId="77777777" w:rsidR="00511738" w:rsidRDefault="00FC3FA8">
      <w:r>
        <w:t>• Proportional Reporting Ratio (PRR):</w:t>
      </w:r>
    </w:p>
    <w:p w14:paraId="436762C4" w14:textId="77777777" w:rsidR="00511738" w:rsidRDefault="00FC3FA8">
      <w:r>
        <w:t xml:space="preserve">    PRR = [a / (a + b)] / [c / (c + d)]</w:t>
      </w:r>
    </w:p>
    <w:p w14:paraId="7044DA3C" w14:textId="77777777" w:rsidR="00511738" w:rsidRDefault="00FC3FA8">
      <w:r>
        <w:lastRenderedPageBreak/>
        <w:t>• Chi-Square Statistic with Yates' Continuity Correction (chi2):</w:t>
      </w:r>
    </w:p>
    <w:p w14:paraId="1C751241" w14:textId="77777777" w:rsidR="00511738" w:rsidRDefault="00FC3FA8">
      <w:r>
        <w:t xml:space="preserve">    chi2 = N * (|a*d - b*c| - N/2)^2 / [(a + b) * (c + d) * (a + c) * (b + d)], where N = a + b + c + d</w:t>
      </w:r>
    </w:p>
    <w:p w14:paraId="524A152A" w14:textId="77777777" w:rsidR="00511738" w:rsidRDefault="00FC3FA8">
      <w:pPr>
        <w:keepNext/>
        <w:spacing w:before="240" w:after="80"/>
      </w:pPr>
      <w:r>
        <w:rPr>
          <w:b/>
          <w:color w:val="366092"/>
          <w:sz w:val="26"/>
        </w:rPr>
        <w:t>4.3 Predefined Signal Detection Criteria</w:t>
      </w:r>
    </w:p>
    <w:p w14:paraId="7F1AC605" w14:textId="77777777" w:rsidR="00511738" w:rsidRDefault="00FC3FA8">
      <w:r>
        <w:t>In accordance with European Medicines Agency (EMA) and FDA pharmacovigilance guidelines, a valid safety signal is defined when all four of the following criteria are simultaneously satisfied:</w:t>
      </w:r>
      <w:r>
        <w:br/>
        <w:t>1. Lower bound of 95% Confidence Interval for ROR &gt; 1.0</w:t>
      </w:r>
      <w:r>
        <w:br/>
        <w:t>2. Proportional Reporting Ratio (PRR) &gt;= 2.0</w:t>
      </w:r>
      <w:r>
        <w:br/>
        <w:t>3. Chi-square statistic (Yates corrected) &gt;= 4.0</w:t>
      </w:r>
      <w:r>
        <w:br/>
        <w:t>4. Number of exposed cases a &gt;= 3</w:t>
      </w:r>
    </w:p>
    <w:p w14:paraId="412B9EE2" w14:textId="77777777" w:rsidR="00511738" w:rsidRDefault="00FC3FA8">
      <w:pPr>
        <w:keepNext/>
        <w:spacing w:before="360"/>
      </w:pPr>
      <w:r>
        <w:rPr>
          <w:b/>
          <w:color w:val="1F497D"/>
          <w:sz w:val="32"/>
        </w:rPr>
        <w:t>5. Empirical Results</w:t>
      </w:r>
    </w:p>
    <w:p w14:paraId="417B21B0" w14:textId="77777777" w:rsidR="00511738" w:rsidRDefault="00FC3FA8">
      <w:r>
        <w:t>Across the 2018–2025 period, 100,912 semaglutide reports and 47,266 SGLT2 inhibitor reports were evaluated. Table 2 presents the complete empirical disproportionality metrics, contingency cell frequencies, test statistics, and signal classifications.</w:t>
      </w:r>
    </w:p>
    <w:tbl>
      <w:tblPr>
        <w:tblW w:w="0" w:type="auto"/>
        <w:jc w:val="center"/>
        <w:tblBorders>
          <w:top w:val="single" w:sz="6" w:space="0" w:color="CCCCCC"/>
          <w:bottom w:val="single" w:sz="8" w:space="0" w:color="1F497D"/>
          <w:insideH w:val="single" w:sz="4" w:space="0" w:color="E0E0E0"/>
        </w:tblBorders>
        <w:tblLook w:val="04A0" w:firstRow="1" w:lastRow="0" w:firstColumn="1" w:lastColumn="0" w:noHBand="0" w:noVBand="1"/>
      </w:tblPr>
      <w:tblGrid>
        <w:gridCol w:w="1748"/>
        <w:gridCol w:w="1000"/>
        <w:gridCol w:w="1127"/>
        <w:gridCol w:w="2049"/>
        <w:gridCol w:w="848"/>
        <w:gridCol w:w="848"/>
        <w:gridCol w:w="1094"/>
        <w:gridCol w:w="1006"/>
      </w:tblGrid>
      <w:tr w:rsidR="00511738" w14:paraId="2FACD27E" w14:textId="77777777">
        <w:trPr>
          <w:jc w:val="center"/>
        </w:trPr>
        <w:tc>
          <w:tcPr>
            <w:tcW w:w="1872" w:type="dxa"/>
            <w:shd w:val="clear" w:color="auto" w:fill="1F497D"/>
            <w:tcMar>
              <w:top w:w="140" w:type="dxa"/>
              <w:left w:w="180" w:type="dxa"/>
              <w:bottom w:w="140" w:type="dxa"/>
              <w:right w:w="180" w:type="dxa"/>
            </w:tcMar>
            <w:vAlign w:val="center"/>
          </w:tcPr>
          <w:p w14:paraId="2BC831C2" w14:textId="77777777" w:rsidR="00511738" w:rsidRDefault="00FC3FA8">
            <w:r>
              <w:rPr>
                <w:b/>
                <w:color w:val="FFFFFF"/>
                <w:sz w:val="20"/>
              </w:rPr>
              <w:t>ADR Term</w:t>
            </w:r>
          </w:p>
        </w:tc>
        <w:tc>
          <w:tcPr>
            <w:tcW w:w="1008" w:type="dxa"/>
            <w:shd w:val="clear" w:color="auto" w:fill="1F497D"/>
            <w:tcMar>
              <w:top w:w="140" w:type="dxa"/>
              <w:left w:w="180" w:type="dxa"/>
              <w:bottom w:w="140" w:type="dxa"/>
              <w:right w:w="180" w:type="dxa"/>
            </w:tcMar>
            <w:vAlign w:val="center"/>
          </w:tcPr>
          <w:p w14:paraId="3A29AAA1" w14:textId="77777777" w:rsidR="00511738" w:rsidRDefault="00FC3FA8">
            <w:r>
              <w:rPr>
                <w:b/>
                <w:color w:val="FFFFFF"/>
                <w:sz w:val="20"/>
              </w:rPr>
              <w:t>a (Sema)</w:t>
            </w:r>
          </w:p>
        </w:tc>
        <w:tc>
          <w:tcPr>
            <w:tcW w:w="1008" w:type="dxa"/>
            <w:shd w:val="clear" w:color="auto" w:fill="1F497D"/>
            <w:tcMar>
              <w:top w:w="140" w:type="dxa"/>
              <w:left w:w="180" w:type="dxa"/>
              <w:bottom w:w="140" w:type="dxa"/>
              <w:right w:w="180" w:type="dxa"/>
            </w:tcMar>
            <w:vAlign w:val="center"/>
          </w:tcPr>
          <w:p w14:paraId="6B83C371" w14:textId="77777777" w:rsidR="00511738" w:rsidRDefault="00FC3FA8">
            <w:r>
              <w:rPr>
                <w:b/>
                <w:color w:val="FFFFFF"/>
                <w:sz w:val="20"/>
              </w:rPr>
              <w:t>c (SGLT2)</w:t>
            </w:r>
          </w:p>
        </w:tc>
        <w:tc>
          <w:tcPr>
            <w:tcW w:w="2304" w:type="dxa"/>
            <w:shd w:val="clear" w:color="auto" w:fill="1F497D"/>
            <w:tcMar>
              <w:top w:w="140" w:type="dxa"/>
              <w:left w:w="180" w:type="dxa"/>
              <w:bottom w:w="140" w:type="dxa"/>
              <w:right w:w="180" w:type="dxa"/>
            </w:tcMar>
            <w:vAlign w:val="center"/>
          </w:tcPr>
          <w:p w14:paraId="38EDC7E7" w14:textId="77777777" w:rsidR="00511738" w:rsidRDefault="00FC3FA8">
            <w:r>
              <w:rPr>
                <w:b/>
                <w:color w:val="FFFFFF"/>
                <w:sz w:val="20"/>
              </w:rPr>
              <w:t>ROR (95% CI)</w:t>
            </w:r>
          </w:p>
        </w:tc>
        <w:tc>
          <w:tcPr>
            <w:tcW w:w="864" w:type="dxa"/>
            <w:shd w:val="clear" w:color="auto" w:fill="1F497D"/>
            <w:tcMar>
              <w:top w:w="140" w:type="dxa"/>
              <w:left w:w="180" w:type="dxa"/>
              <w:bottom w:w="140" w:type="dxa"/>
              <w:right w:w="180" w:type="dxa"/>
            </w:tcMar>
            <w:vAlign w:val="center"/>
          </w:tcPr>
          <w:p w14:paraId="151ABA85" w14:textId="77777777" w:rsidR="00511738" w:rsidRDefault="00FC3FA8">
            <w:r>
              <w:rPr>
                <w:b/>
                <w:color w:val="FFFFFF"/>
                <w:sz w:val="20"/>
              </w:rPr>
              <w:t>PRR</w:t>
            </w:r>
          </w:p>
        </w:tc>
        <w:tc>
          <w:tcPr>
            <w:tcW w:w="864" w:type="dxa"/>
            <w:shd w:val="clear" w:color="auto" w:fill="1F497D"/>
            <w:tcMar>
              <w:top w:w="140" w:type="dxa"/>
              <w:left w:w="180" w:type="dxa"/>
              <w:bottom w:w="140" w:type="dxa"/>
              <w:right w:w="180" w:type="dxa"/>
            </w:tcMar>
            <w:vAlign w:val="center"/>
          </w:tcPr>
          <w:p w14:paraId="3D722C60" w14:textId="77777777" w:rsidR="00511738" w:rsidRDefault="00FC3FA8">
            <w:r>
              <w:rPr>
                <w:b/>
                <w:color w:val="FFFFFF"/>
                <w:sz w:val="20"/>
              </w:rPr>
              <w:t>Chi2</w:t>
            </w:r>
          </w:p>
        </w:tc>
        <w:tc>
          <w:tcPr>
            <w:tcW w:w="1152" w:type="dxa"/>
            <w:shd w:val="clear" w:color="auto" w:fill="1F497D"/>
            <w:tcMar>
              <w:top w:w="140" w:type="dxa"/>
              <w:left w:w="180" w:type="dxa"/>
              <w:bottom w:w="140" w:type="dxa"/>
              <w:right w:w="180" w:type="dxa"/>
            </w:tcMar>
            <w:vAlign w:val="center"/>
          </w:tcPr>
          <w:p w14:paraId="601D3138" w14:textId="77777777" w:rsidR="00511738" w:rsidRDefault="00FC3FA8">
            <w:r>
              <w:rPr>
                <w:b/>
                <w:color w:val="FFFFFF"/>
                <w:sz w:val="20"/>
              </w:rPr>
              <w:t>p-value</w:t>
            </w:r>
          </w:p>
        </w:tc>
        <w:tc>
          <w:tcPr>
            <w:tcW w:w="1008" w:type="dxa"/>
            <w:shd w:val="clear" w:color="auto" w:fill="1F497D"/>
            <w:tcMar>
              <w:top w:w="140" w:type="dxa"/>
              <w:left w:w="180" w:type="dxa"/>
              <w:bottom w:w="140" w:type="dxa"/>
              <w:right w:w="180" w:type="dxa"/>
            </w:tcMar>
            <w:vAlign w:val="center"/>
          </w:tcPr>
          <w:p w14:paraId="5AF62315" w14:textId="77777777" w:rsidR="00511738" w:rsidRDefault="00FC3FA8">
            <w:r>
              <w:rPr>
                <w:b/>
                <w:color w:val="FFFFFF"/>
                <w:sz w:val="20"/>
              </w:rPr>
              <w:t>Signal?</w:t>
            </w:r>
          </w:p>
        </w:tc>
      </w:tr>
      <w:tr w:rsidR="00511738" w14:paraId="4E0F6713" w14:textId="77777777">
        <w:trPr>
          <w:jc w:val="center"/>
        </w:trPr>
        <w:tc>
          <w:tcPr>
            <w:tcW w:w="1872" w:type="dxa"/>
            <w:shd w:val="clear" w:color="auto" w:fill="F2F4F7"/>
            <w:tcMar>
              <w:top w:w="100" w:type="dxa"/>
              <w:left w:w="150" w:type="dxa"/>
              <w:bottom w:w="100" w:type="dxa"/>
              <w:right w:w="150" w:type="dxa"/>
            </w:tcMar>
            <w:vAlign w:val="center"/>
          </w:tcPr>
          <w:p w14:paraId="1413FAE7" w14:textId="77777777" w:rsidR="00511738" w:rsidRDefault="00FC3FA8">
            <w:r>
              <w:rPr>
                <w:sz w:val="19"/>
              </w:rPr>
              <w:t>Depressed Mood</w:t>
            </w:r>
          </w:p>
        </w:tc>
        <w:tc>
          <w:tcPr>
            <w:tcW w:w="1008" w:type="dxa"/>
            <w:shd w:val="clear" w:color="auto" w:fill="F2F4F7"/>
            <w:tcMar>
              <w:top w:w="100" w:type="dxa"/>
              <w:left w:w="150" w:type="dxa"/>
              <w:bottom w:w="100" w:type="dxa"/>
              <w:right w:w="150" w:type="dxa"/>
            </w:tcMar>
            <w:vAlign w:val="center"/>
          </w:tcPr>
          <w:p w14:paraId="5D8D1C33" w14:textId="77777777" w:rsidR="00511738" w:rsidRDefault="00FC3FA8">
            <w:r>
              <w:rPr>
                <w:sz w:val="19"/>
              </w:rPr>
              <w:t>520</w:t>
            </w:r>
          </w:p>
        </w:tc>
        <w:tc>
          <w:tcPr>
            <w:tcW w:w="1008" w:type="dxa"/>
            <w:shd w:val="clear" w:color="auto" w:fill="F2F4F7"/>
            <w:tcMar>
              <w:top w:w="100" w:type="dxa"/>
              <w:left w:w="150" w:type="dxa"/>
              <w:bottom w:w="100" w:type="dxa"/>
              <w:right w:w="150" w:type="dxa"/>
            </w:tcMar>
            <w:vAlign w:val="center"/>
          </w:tcPr>
          <w:p w14:paraId="097FB7C8" w14:textId="77777777" w:rsidR="00511738" w:rsidRDefault="00FC3FA8">
            <w:r>
              <w:rPr>
                <w:sz w:val="19"/>
              </w:rPr>
              <w:t>116</w:t>
            </w:r>
          </w:p>
        </w:tc>
        <w:tc>
          <w:tcPr>
            <w:tcW w:w="2304" w:type="dxa"/>
            <w:shd w:val="clear" w:color="auto" w:fill="F2F4F7"/>
            <w:tcMar>
              <w:top w:w="100" w:type="dxa"/>
              <w:left w:w="150" w:type="dxa"/>
              <w:bottom w:w="100" w:type="dxa"/>
              <w:right w:w="150" w:type="dxa"/>
            </w:tcMar>
            <w:vAlign w:val="center"/>
          </w:tcPr>
          <w:p w14:paraId="03BA32AD" w14:textId="77777777" w:rsidR="00511738" w:rsidRDefault="00FC3FA8">
            <w:r>
              <w:rPr>
                <w:sz w:val="19"/>
              </w:rPr>
              <w:t>2.11 (1.72-2.58)</w:t>
            </w:r>
          </w:p>
        </w:tc>
        <w:tc>
          <w:tcPr>
            <w:tcW w:w="864" w:type="dxa"/>
            <w:shd w:val="clear" w:color="auto" w:fill="F2F4F7"/>
            <w:tcMar>
              <w:top w:w="100" w:type="dxa"/>
              <w:left w:w="150" w:type="dxa"/>
              <w:bottom w:w="100" w:type="dxa"/>
              <w:right w:w="150" w:type="dxa"/>
            </w:tcMar>
            <w:vAlign w:val="center"/>
          </w:tcPr>
          <w:p w14:paraId="1936C11C" w14:textId="77777777" w:rsidR="00511738" w:rsidRDefault="00FC3FA8">
            <w:r>
              <w:rPr>
                <w:sz w:val="19"/>
              </w:rPr>
              <w:t>2.10</w:t>
            </w:r>
          </w:p>
        </w:tc>
        <w:tc>
          <w:tcPr>
            <w:tcW w:w="864" w:type="dxa"/>
            <w:shd w:val="clear" w:color="auto" w:fill="F2F4F7"/>
            <w:tcMar>
              <w:top w:w="100" w:type="dxa"/>
              <w:left w:w="150" w:type="dxa"/>
              <w:bottom w:w="100" w:type="dxa"/>
              <w:right w:w="150" w:type="dxa"/>
            </w:tcMar>
            <w:vAlign w:val="center"/>
          </w:tcPr>
          <w:p w14:paraId="649B13BB" w14:textId="77777777" w:rsidR="00511738" w:rsidRDefault="00FC3FA8">
            <w:r>
              <w:rPr>
                <w:sz w:val="19"/>
              </w:rPr>
              <w:t>54.2</w:t>
            </w:r>
          </w:p>
        </w:tc>
        <w:tc>
          <w:tcPr>
            <w:tcW w:w="1152" w:type="dxa"/>
            <w:shd w:val="clear" w:color="auto" w:fill="F2F4F7"/>
            <w:tcMar>
              <w:top w:w="100" w:type="dxa"/>
              <w:left w:w="150" w:type="dxa"/>
              <w:bottom w:w="100" w:type="dxa"/>
              <w:right w:w="150" w:type="dxa"/>
            </w:tcMar>
            <w:vAlign w:val="center"/>
          </w:tcPr>
          <w:p w14:paraId="2C50CE7E" w14:textId="77777777" w:rsidR="00511738" w:rsidRDefault="00FC3FA8">
            <w:r>
              <w:rPr>
                <w:sz w:val="19"/>
              </w:rPr>
              <w:t>1.78e-13</w:t>
            </w:r>
          </w:p>
        </w:tc>
        <w:tc>
          <w:tcPr>
            <w:tcW w:w="1008" w:type="dxa"/>
            <w:shd w:val="clear" w:color="auto" w:fill="F2F4F7"/>
            <w:tcMar>
              <w:top w:w="100" w:type="dxa"/>
              <w:left w:w="150" w:type="dxa"/>
              <w:bottom w:w="100" w:type="dxa"/>
              <w:right w:w="150" w:type="dxa"/>
            </w:tcMar>
            <w:vAlign w:val="center"/>
          </w:tcPr>
          <w:p w14:paraId="330E7E48" w14:textId="77777777" w:rsidR="00511738" w:rsidRDefault="00FC3FA8">
            <w:r>
              <w:rPr>
                <w:sz w:val="19"/>
              </w:rPr>
              <w:t>YES</w:t>
            </w:r>
          </w:p>
        </w:tc>
      </w:tr>
      <w:tr w:rsidR="00511738" w14:paraId="504D57A5" w14:textId="77777777">
        <w:trPr>
          <w:jc w:val="center"/>
        </w:trPr>
        <w:tc>
          <w:tcPr>
            <w:tcW w:w="1872" w:type="dxa"/>
            <w:shd w:val="clear" w:color="auto" w:fill="FFFFFF"/>
            <w:tcMar>
              <w:top w:w="100" w:type="dxa"/>
              <w:left w:w="150" w:type="dxa"/>
              <w:bottom w:w="100" w:type="dxa"/>
              <w:right w:w="150" w:type="dxa"/>
            </w:tcMar>
            <w:vAlign w:val="center"/>
          </w:tcPr>
          <w:p w14:paraId="3FF2125A" w14:textId="77777777" w:rsidR="00511738" w:rsidRDefault="00FC3FA8">
            <w:r>
              <w:rPr>
                <w:sz w:val="19"/>
              </w:rPr>
              <w:t>Anxiety</w:t>
            </w:r>
          </w:p>
        </w:tc>
        <w:tc>
          <w:tcPr>
            <w:tcW w:w="1008" w:type="dxa"/>
            <w:shd w:val="clear" w:color="auto" w:fill="FFFFFF"/>
            <w:tcMar>
              <w:top w:w="100" w:type="dxa"/>
              <w:left w:w="150" w:type="dxa"/>
              <w:bottom w:w="100" w:type="dxa"/>
              <w:right w:w="150" w:type="dxa"/>
            </w:tcMar>
            <w:vAlign w:val="center"/>
          </w:tcPr>
          <w:p w14:paraId="44B6E75A" w14:textId="77777777" w:rsidR="00511738" w:rsidRDefault="00FC3FA8">
            <w:r>
              <w:rPr>
                <w:sz w:val="19"/>
              </w:rPr>
              <w:t>1,878</w:t>
            </w:r>
          </w:p>
        </w:tc>
        <w:tc>
          <w:tcPr>
            <w:tcW w:w="1008" w:type="dxa"/>
            <w:shd w:val="clear" w:color="auto" w:fill="FFFFFF"/>
            <w:tcMar>
              <w:top w:w="100" w:type="dxa"/>
              <w:left w:w="150" w:type="dxa"/>
              <w:bottom w:w="100" w:type="dxa"/>
              <w:right w:w="150" w:type="dxa"/>
            </w:tcMar>
            <w:vAlign w:val="center"/>
          </w:tcPr>
          <w:p w14:paraId="37D64DAC" w14:textId="77777777" w:rsidR="00511738" w:rsidRDefault="00FC3FA8">
            <w:r>
              <w:rPr>
                <w:sz w:val="19"/>
              </w:rPr>
              <w:t>630</w:t>
            </w:r>
          </w:p>
        </w:tc>
        <w:tc>
          <w:tcPr>
            <w:tcW w:w="2304" w:type="dxa"/>
            <w:shd w:val="clear" w:color="auto" w:fill="FFFFFF"/>
            <w:tcMar>
              <w:top w:w="100" w:type="dxa"/>
              <w:left w:w="150" w:type="dxa"/>
              <w:bottom w:w="100" w:type="dxa"/>
              <w:right w:w="150" w:type="dxa"/>
            </w:tcMar>
            <w:vAlign w:val="center"/>
          </w:tcPr>
          <w:p w14:paraId="336EA17E" w14:textId="77777777" w:rsidR="00511738" w:rsidRDefault="00FC3FA8">
            <w:r>
              <w:rPr>
                <w:sz w:val="19"/>
              </w:rPr>
              <w:t>1.40 (1.28-1.54)</w:t>
            </w:r>
          </w:p>
        </w:tc>
        <w:tc>
          <w:tcPr>
            <w:tcW w:w="864" w:type="dxa"/>
            <w:shd w:val="clear" w:color="auto" w:fill="FFFFFF"/>
            <w:tcMar>
              <w:top w:w="100" w:type="dxa"/>
              <w:left w:w="150" w:type="dxa"/>
              <w:bottom w:w="100" w:type="dxa"/>
              <w:right w:w="150" w:type="dxa"/>
            </w:tcMar>
            <w:vAlign w:val="center"/>
          </w:tcPr>
          <w:p w14:paraId="363628BB" w14:textId="77777777" w:rsidR="00511738" w:rsidRDefault="00FC3FA8">
            <w:r>
              <w:rPr>
                <w:sz w:val="19"/>
              </w:rPr>
              <w:t>1.40</w:t>
            </w:r>
          </w:p>
        </w:tc>
        <w:tc>
          <w:tcPr>
            <w:tcW w:w="864" w:type="dxa"/>
            <w:shd w:val="clear" w:color="auto" w:fill="FFFFFF"/>
            <w:tcMar>
              <w:top w:w="100" w:type="dxa"/>
              <w:left w:w="150" w:type="dxa"/>
              <w:bottom w:w="100" w:type="dxa"/>
              <w:right w:w="150" w:type="dxa"/>
            </w:tcMar>
            <w:vAlign w:val="center"/>
          </w:tcPr>
          <w:p w14:paraId="56C54C1F" w14:textId="77777777" w:rsidR="00511738" w:rsidRDefault="00FC3FA8">
            <w:r>
              <w:rPr>
                <w:sz w:val="19"/>
              </w:rPr>
              <w:t>53.6</w:t>
            </w:r>
          </w:p>
        </w:tc>
        <w:tc>
          <w:tcPr>
            <w:tcW w:w="1152" w:type="dxa"/>
            <w:shd w:val="clear" w:color="auto" w:fill="FFFFFF"/>
            <w:tcMar>
              <w:top w:w="100" w:type="dxa"/>
              <w:left w:w="150" w:type="dxa"/>
              <w:bottom w:w="100" w:type="dxa"/>
              <w:right w:w="150" w:type="dxa"/>
            </w:tcMar>
            <w:vAlign w:val="center"/>
          </w:tcPr>
          <w:p w14:paraId="6A063852" w14:textId="77777777" w:rsidR="00511738" w:rsidRDefault="00FC3FA8">
            <w:r>
              <w:rPr>
                <w:sz w:val="19"/>
              </w:rPr>
              <w:t>2.40e-13</w:t>
            </w:r>
          </w:p>
        </w:tc>
        <w:tc>
          <w:tcPr>
            <w:tcW w:w="1008" w:type="dxa"/>
            <w:shd w:val="clear" w:color="auto" w:fill="FFFFFF"/>
            <w:tcMar>
              <w:top w:w="100" w:type="dxa"/>
              <w:left w:w="150" w:type="dxa"/>
              <w:bottom w:w="100" w:type="dxa"/>
              <w:right w:w="150" w:type="dxa"/>
            </w:tcMar>
            <w:vAlign w:val="center"/>
          </w:tcPr>
          <w:p w14:paraId="0BAB93AF" w14:textId="77777777" w:rsidR="00511738" w:rsidRDefault="00FC3FA8">
            <w:r>
              <w:rPr>
                <w:sz w:val="19"/>
              </w:rPr>
              <w:t>NO</w:t>
            </w:r>
          </w:p>
        </w:tc>
      </w:tr>
      <w:tr w:rsidR="00511738" w14:paraId="0096B7AF" w14:textId="77777777">
        <w:trPr>
          <w:jc w:val="center"/>
        </w:trPr>
        <w:tc>
          <w:tcPr>
            <w:tcW w:w="1872" w:type="dxa"/>
            <w:shd w:val="clear" w:color="auto" w:fill="F2F4F7"/>
            <w:tcMar>
              <w:top w:w="100" w:type="dxa"/>
              <w:left w:w="150" w:type="dxa"/>
              <w:bottom w:w="100" w:type="dxa"/>
              <w:right w:w="150" w:type="dxa"/>
            </w:tcMar>
            <w:vAlign w:val="center"/>
          </w:tcPr>
          <w:p w14:paraId="42284230" w14:textId="77777777" w:rsidR="00511738" w:rsidRDefault="00FC3FA8">
            <w:r>
              <w:rPr>
                <w:sz w:val="19"/>
              </w:rPr>
              <w:t>Suicide Attempt</w:t>
            </w:r>
          </w:p>
        </w:tc>
        <w:tc>
          <w:tcPr>
            <w:tcW w:w="1008" w:type="dxa"/>
            <w:shd w:val="clear" w:color="auto" w:fill="F2F4F7"/>
            <w:tcMar>
              <w:top w:w="100" w:type="dxa"/>
              <w:left w:w="150" w:type="dxa"/>
              <w:bottom w:w="100" w:type="dxa"/>
              <w:right w:w="150" w:type="dxa"/>
            </w:tcMar>
            <w:vAlign w:val="center"/>
          </w:tcPr>
          <w:p w14:paraId="1D7FFED6" w14:textId="77777777" w:rsidR="00511738" w:rsidRDefault="00FC3FA8">
            <w:r>
              <w:rPr>
                <w:sz w:val="19"/>
              </w:rPr>
              <w:t>106</w:t>
            </w:r>
          </w:p>
        </w:tc>
        <w:tc>
          <w:tcPr>
            <w:tcW w:w="1008" w:type="dxa"/>
            <w:shd w:val="clear" w:color="auto" w:fill="F2F4F7"/>
            <w:tcMar>
              <w:top w:w="100" w:type="dxa"/>
              <w:left w:w="150" w:type="dxa"/>
              <w:bottom w:w="100" w:type="dxa"/>
              <w:right w:w="150" w:type="dxa"/>
            </w:tcMar>
            <w:vAlign w:val="center"/>
          </w:tcPr>
          <w:p w14:paraId="52601196" w14:textId="77777777" w:rsidR="00511738" w:rsidRDefault="00FC3FA8">
            <w:r>
              <w:rPr>
                <w:sz w:val="19"/>
              </w:rPr>
              <w:t>74</w:t>
            </w:r>
          </w:p>
        </w:tc>
        <w:tc>
          <w:tcPr>
            <w:tcW w:w="2304" w:type="dxa"/>
            <w:shd w:val="clear" w:color="auto" w:fill="F2F4F7"/>
            <w:tcMar>
              <w:top w:w="100" w:type="dxa"/>
              <w:left w:w="150" w:type="dxa"/>
              <w:bottom w:w="100" w:type="dxa"/>
              <w:right w:w="150" w:type="dxa"/>
            </w:tcMar>
            <w:vAlign w:val="center"/>
          </w:tcPr>
          <w:p w14:paraId="4A8F8A06" w14:textId="77777777" w:rsidR="00511738" w:rsidRDefault="00FC3FA8">
            <w:r>
              <w:rPr>
                <w:sz w:val="19"/>
              </w:rPr>
              <w:t>0.67 (0.50-0.90)</w:t>
            </w:r>
          </w:p>
        </w:tc>
        <w:tc>
          <w:tcPr>
            <w:tcW w:w="864" w:type="dxa"/>
            <w:shd w:val="clear" w:color="auto" w:fill="F2F4F7"/>
            <w:tcMar>
              <w:top w:w="100" w:type="dxa"/>
              <w:left w:w="150" w:type="dxa"/>
              <w:bottom w:w="100" w:type="dxa"/>
              <w:right w:w="150" w:type="dxa"/>
            </w:tcMar>
            <w:vAlign w:val="center"/>
          </w:tcPr>
          <w:p w14:paraId="7FAEDC8C" w14:textId="77777777" w:rsidR="00511738" w:rsidRDefault="00FC3FA8">
            <w:r>
              <w:rPr>
                <w:sz w:val="19"/>
              </w:rPr>
              <w:t>0.67</w:t>
            </w:r>
          </w:p>
        </w:tc>
        <w:tc>
          <w:tcPr>
            <w:tcW w:w="864" w:type="dxa"/>
            <w:shd w:val="clear" w:color="auto" w:fill="F2F4F7"/>
            <w:tcMar>
              <w:top w:w="100" w:type="dxa"/>
              <w:left w:w="150" w:type="dxa"/>
              <w:bottom w:w="100" w:type="dxa"/>
              <w:right w:w="150" w:type="dxa"/>
            </w:tcMar>
            <w:vAlign w:val="center"/>
          </w:tcPr>
          <w:p w14:paraId="724FD4ED" w14:textId="77777777" w:rsidR="00511738" w:rsidRDefault="00FC3FA8">
            <w:r>
              <w:rPr>
                <w:sz w:val="19"/>
              </w:rPr>
              <w:t>6.6</w:t>
            </w:r>
          </w:p>
        </w:tc>
        <w:tc>
          <w:tcPr>
            <w:tcW w:w="1152" w:type="dxa"/>
            <w:shd w:val="clear" w:color="auto" w:fill="F2F4F7"/>
            <w:tcMar>
              <w:top w:w="100" w:type="dxa"/>
              <w:left w:w="150" w:type="dxa"/>
              <w:bottom w:w="100" w:type="dxa"/>
              <w:right w:w="150" w:type="dxa"/>
            </w:tcMar>
            <w:vAlign w:val="center"/>
          </w:tcPr>
          <w:p w14:paraId="7BA881DA" w14:textId="77777777" w:rsidR="00511738" w:rsidRDefault="00FC3FA8">
            <w:r>
              <w:rPr>
                <w:sz w:val="19"/>
              </w:rPr>
              <w:t>0.010</w:t>
            </w:r>
          </w:p>
        </w:tc>
        <w:tc>
          <w:tcPr>
            <w:tcW w:w="1008" w:type="dxa"/>
            <w:shd w:val="clear" w:color="auto" w:fill="F2F4F7"/>
            <w:tcMar>
              <w:top w:w="100" w:type="dxa"/>
              <w:left w:w="150" w:type="dxa"/>
              <w:bottom w:w="100" w:type="dxa"/>
              <w:right w:w="150" w:type="dxa"/>
            </w:tcMar>
            <w:vAlign w:val="center"/>
          </w:tcPr>
          <w:p w14:paraId="0A8A8ED8" w14:textId="77777777" w:rsidR="00511738" w:rsidRDefault="00FC3FA8">
            <w:r>
              <w:rPr>
                <w:sz w:val="19"/>
              </w:rPr>
              <w:t>NO</w:t>
            </w:r>
          </w:p>
        </w:tc>
      </w:tr>
      <w:tr w:rsidR="00511738" w14:paraId="6FE7B127" w14:textId="77777777">
        <w:trPr>
          <w:jc w:val="center"/>
        </w:trPr>
        <w:tc>
          <w:tcPr>
            <w:tcW w:w="1872" w:type="dxa"/>
            <w:shd w:val="clear" w:color="auto" w:fill="FFFFFF"/>
            <w:tcMar>
              <w:top w:w="100" w:type="dxa"/>
              <w:left w:w="150" w:type="dxa"/>
              <w:bottom w:w="100" w:type="dxa"/>
              <w:right w:w="150" w:type="dxa"/>
            </w:tcMar>
            <w:vAlign w:val="center"/>
          </w:tcPr>
          <w:p w14:paraId="3111656E" w14:textId="77777777" w:rsidR="00511738" w:rsidRDefault="00FC3FA8">
            <w:r>
              <w:rPr>
                <w:sz w:val="19"/>
              </w:rPr>
              <w:t>Suicidal Ideation</w:t>
            </w:r>
          </w:p>
        </w:tc>
        <w:tc>
          <w:tcPr>
            <w:tcW w:w="1008" w:type="dxa"/>
            <w:shd w:val="clear" w:color="auto" w:fill="FFFFFF"/>
            <w:tcMar>
              <w:top w:w="100" w:type="dxa"/>
              <w:left w:w="150" w:type="dxa"/>
              <w:bottom w:w="100" w:type="dxa"/>
              <w:right w:w="150" w:type="dxa"/>
            </w:tcMar>
            <w:vAlign w:val="center"/>
          </w:tcPr>
          <w:p w14:paraId="036CF0ED" w14:textId="77777777" w:rsidR="00511738" w:rsidRDefault="00FC3FA8">
            <w:r>
              <w:rPr>
                <w:sz w:val="19"/>
              </w:rPr>
              <w:t>776</w:t>
            </w:r>
          </w:p>
        </w:tc>
        <w:tc>
          <w:tcPr>
            <w:tcW w:w="1008" w:type="dxa"/>
            <w:shd w:val="clear" w:color="auto" w:fill="FFFFFF"/>
            <w:tcMar>
              <w:top w:w="100" w:type="dxa"/>
              <w:left w:w="150" w:type="dxa"/>
              <w:bottom w:w="100" w:type="dxa"/>
              <w:right w:w="150" w:type="dxa"/>
            </w:tcMar>
            <w:vAlign w:val="center"/>
          </w:tcPr>
          <w:p w14:paraId="0563696A" w14:textId="77777777" w:rsidR="00511738" w:rsidRDefault="00FC3FA8">
            <w:r>
              <w:rPr>
                <w:sz w:val="19"/>
              </w:rPr>
              <w:t>140</w:t>
            </w:r>
          </w:p>
        </w:tc>
        <w:tc>
          <w:tcPr>
            <w:tcW w:w="2304" w:type="dxa"/>
            <w:shd w:val="clear" w:color="auto" w:fill="FFFFFF"/>
            <w:tcMar>
              <w:top w:w="100" w:type="dxa"/>
              <w:left w:w="150" w:type="dxa"/>
              <w:bottom w:w="100" w:type="dxa"/>
              <w:right w:w="150" w:type="dxa"/>
            </w:tcMar>
            <w:vAlign w:val="center"/>
          </w:tcPr>
          <w:p w14:paraId="51CFB0E8" w14:textId="77777777" w:rsidR="00511738" w:rsidRDefault="00FC3FA8">
            <w:r>
              <w:rPr>
                <w:sz w:val="19"/>
              </w:rPr>
              <w:t>2.61 (2.18-3.12)</w:t>
            </w:r>
          </w:p>
        </w:tc>
        <w:tc>
          <w:tcPr>
            <w:tcW w:w="864" w:type="dxa"/>
            <w:shd w:val="clear" w:color="auto" w:fill="FFFFFF"/>
            <w:tcMar>
              <w:top w:w="100" w:type="dxa"/>
              <w:left w:w="150" w:type="dxa"/>
              <w:bottom w:w="100" w:type="dxa"/>
              <w:right w:w="150" w:type="dxa"/>
            </w:tcMar>
            <w:vAlign w:val="center"/>
          </w:tcPr>
          <w:p w14:paraId="27C2889D" w14:textId="77777777" w:rsidR="00511738" w:rsidRDefault="00FC3FA8">
            <w:r>
              <w:rPr>
                <w:sz w:val="19"/>
              </w:rPr>
              <w:t>2.60</w:t>
            </w:r>
          </w:p>
        </w:tc>
        <w:tc>
          <w:tcPr>
            <w:tcW w:w="864" w:type="dxa"/>
            <w:shd w:val="clear" w:color="auto" w:fill="FFFFFF"/>
            <w:tcMar>
              <w:top w:w="100" w:type="dxa"/>
              <w:left w:w="150" w:type="dxa"/>
              <w:bottom w:w="100" w:type="dxa"/>
              <w:right w:w="150" w:type="dxa"/>
            </w:tcMar>
            <w:vAlign w:val="center"/>
          </w:tcPr>
          <w:p w14:paraId="6CFFC666" w14:textId="77777777" w:rsidR="00511738" w:rsidRDefault="00FC3FA8">
            <w:r>
              <w:rPr>
                <w:sz w:val="19"/>
              </w:rPr>
              <w:t>116.4</w:t>
            </w:r>
          </w:p>
        </w:tc>
        <w:tc>
          <w:tcPr>
            <w:tcW w:w="1152" w:type="dxa"/>
            <w:shd w:val="clear" w:color="auto" w:fill="FFFFFF"/>
            <w:tcMar>
              <w:top w:w="100" w:type="dxa"/>
              <w:left w:w="150" w:type="dxa"/>
              <w:bottom w:w="100" w:type="dxa"/>
              <w:right w:w="150" w:type="dxa"/>
            </w:tcMar>
            <w:vAlign w:val="center"/>
          </w:tcPr>
          <w:p w14:paraId="2B6B2F51" w14:textId="77777777" w:rsidR="00511738" w:rsidRDefault="00FC3FA8">
            <w:r>
              <w:rPr>
                <w:sz w:val="19"/>
              </w:rPr>
              <w:t>3.98e-27</w:t>
            </w:r>
          </w:p>
        </w:tc>
        <w:tc>
          <w:tcPr>
            <w:tcW w:w="1008" w:type="dxa"/>
            <w:shd w:val="clear" w:color="auto" w:fill="FFFFFF"/>
            <w:tcMar>
              <w:top w:w="100" w:type="dxa"/>
              <w:left w:w="150" w:type="dxa"/>
              <w:bottom w:w="100" w:type="dxa"/>
              <w:right w:w="150" w:type="dxa"/>
            </w:tcMar>
            <w:vAlign w:val="center"/>
          </w:tcPr>
          <w:p w14:paraId="4A02FE6E" w14:textId="77777777" w:rsidR="00511738" w:rsidRDefault="00FC3FA8">
            <w:r>
              <w:rPr>
                <w:sz w:val="19"/>
              </w:rPr>
              <w:t>YES</w:t>
            </w:r>
          </w:p>
        </w:tc>
      </w:tr>
      <w:tr w:rsidR="00511738" w14:paraId="3E087030" w14:textId="77777777">
        <w:trPr>
          <w:jc w:val="center"/>
        </w:trPr>
        <w:tc>
          <w:tcPr>
            <w:tcW w:w="1872" w:type="dxa"/>
            <w:shd w:val="clear" w:color="auto" w:fill="F2F4F7"/>
            <w:tcMar>
              <w:top w:w="100" w:type="dxa"/>
              <w:left w:w="150" w:type="dxa"/>
              <w:bottom w:w="100" w:type="dxa"/>
              <w:right w:w="150" w:type="dxa"/>
            </w:tcMar>
            <w:vAlign w:val="center"/>
          </w:tcPr>
          <w:p w14:paraId="2684144A" w14:textId="77777777" w:rsidR="00511738" w:rsidRDefault="00FC3FA8">
            <w:r>
              <w:rPr>
                <w:sz w:val="19"/>
              </w:rPr>
              <w:t>Depression</w:t>
            </w:r>
          </w:p>
        </w:tc>
        <w:tc>
          <w:tcPr>
            <w:tcW w:w="1008" w:type="dxa"/>
            <w:shd w:val="clear" w:color="auto" w:fill="F2F4F7"/>
            <w:tcMar>
              <w:top w:w="100" w:type="dxa"/>
              <w:left w:w="150" w:type="dxa"/>
              <w:bottom w:w="100" w:type="dxa"/>
              <w:right w:w="150" w:type="dxa"/>
            </w:tcMar>
            <w:vAlign w:val="center"/>
          </w:tcPr>
          <w:p w14:paraId="340B1CBF" w14:textId="77777777" w:rsidR="00511738" w:rsidRDefault="00FC3FA8">
            <w:r>
              <w:rPr>
                <w:sz w:val="19"/>
              </w:rPr>
              <w:t>1,730</w:t>
            </w:r>
          </w:p>
        </w:tc>
        <w:tc>
          <w:tcPr>
            <w:tcW w:w="1008" w:type="dxa"/>
            <w:shd w:val="clear" w:color="auto" w:fill="F2F4F7"/>
            <w:tcMar>
              <w:top w:w="100" w:type="dxa"/>
              <w:left w:w="150" w:type="dxa"/>
              <w:bottom w:w="100" w:type="dxa"/>
              <w:right w:w="150" w:type="dxa"/>
            </w:tcMar>
            <w:vAlign w:val="center"/>
          </w:tcPr>
          <w:p w14:paraId="295A9844" w14:textId="77777777" w:rsidR="00511738" w:rsidRDefault="00FC3FA8">
            <w:r>
              <w:rPr>
                <w:sz w:val="19"/>
              </w:rPr>
              <w:t>496</w:t>
            </w:r>
          </w:p>
        </w:tc>
        <w:tc>
          <w:tcPr>
            <w:tcW w:w="2304" w:type="dxa"/>
            <w:shd w:val="clear" w:color="auto" w:fill="F2F4F7"/>
            <w:tcMar>
              <w:top w:w="100" w:type="dxa"/>
              <w:left w:w="150" w:type="dxa"/>
              <w:bottom w:w="100" w:type="dxa"/>
              <w:right w:w="150" w:type="dxa"/>
            </w:tcMar>
            <w:vAlign w:val="center"/>
          </w:tcPr>
          <w:p w14:paraId="13902A1E" w14:textId="77777777" w:rsidR="00511738" w:rsidRDefault="00FC3FA8">
            <w:r>
              <w:rPr>
                <w:sz w:val="19"/>
              </w:rPr>
              <w:t>1.64 (1.49-1.82)</w:t>
            </w:r>
          </w:p>
        </w:tc>
        <w:tc>
          <w:tcPr>
            <w:tcW w:w="864" w:type="dxa"/>
            <w:shd w:val="clear" w:color="auto" w:fill="F2F4F7"/>
            <w:tcMar>
              <w:top w:w="100" w:type="dxa"/>
              <w:left w:w="150" w:type="dxa"/>
              <w:bottom w:w="100" w:type="dxa"/>
              <w:right w:w="150" w:type="dxa"/>
            </w:tcMar>
            <w:vAlign w:val="center"/>
          </w:tcPr>
          <w:p w14:paraId="1CAC8A55" w14:textId="77777777" w:rsidR="00511738" w:rsidRDefault="00FC3FA8">
            <w:r>
              <w:rPr>
                <w:sz w:val="19"/>
              </w:rPr>
              <w:t>1.63</w:t>
            </w:r>
          </w:p>
        </w:tc>
        <w:tc>
          <w:tcPr>
            <w:tcW w:w="864" w:type="dxa"/>
            <w:shd w:val="clear" w:color="auto" w:fill="F2F4F7"/>
            <w:tcMar>
              <w:top w:w="100" w:type="dxa"/>
              <w:left w:w="150" w:type="dxa"/>
              <w:bottom w:w="100" w:type="dxa"/>
              <w:right w:w="150" w:type="dxa"/>
            </w:tcMar>
            <w:vAlign w:val="center"/>
          </w:tcPr>
          <w:p w14:paraId="224392A8" w14:textId="77777777" w:rsidR="00511738" w:rsidRDefault="00FC3FA8">
            <w:r>
              <w:rPr>
                <w:sz w:val="19"/>
              </w:rPr>
              <w:t>95.7</w:t>
            </w:r>
          </w:p>
        </w:tc>
        <w:tc>
          <w:tcPr>
            <w:tcW w:w="1152" w:type="dxa"/>
            <w:shd w:val="clear" w:color="auto" w:fill="F2F4F7"/>
            <w:tcMar>
              <w:top w:w="100" w:type="dxa"/>
              <w:left w:w="150" w:type="dxa"/>
              <w:bottom w:w="100" w:type="dxa"/>
              <w:right w:w="150" w:type="dxa"/>
            </w:tcMar>
            <w:vAlign w:val="center"/>
          </w:tcPr>
          <w:p w14:paraId="155DFE37" w14:textId="77777777" w:rsidR="00511738" w:rsidRDefault="00FC3FA8">
            <w:r>
              <w:rPr>
                <w:sz w:val="19"/>
              </w:rPr>
              <w:t>1.30e-22</w:t>
            </w:r>
          </w:p>
        </w:tc>
        <w:tc>
          <w:tcPr>
            <w:tcW w:w="1008" w:type="dxa"/>
            <w:shd w:val="clear" w:color="auto" w:fill="F2F4F7"/>
            <w:tcMar>
              <w:top w:w="100" w:type="dxa"/>
              <w:left w:w="150" w:type="dxa"/>
              <w:bottom w:w="100" w:type="dxa"/>
              <w:right w:w="150" w:type="dxa"/>
            </w:tcMar>
            <w:vAlign w:val="center"/>
          </w:tcPr>
          <w:p w14:paraId="51EE4CE3" w14:textId="77777777" w:rsidR="00511738" w:rsidRDefault="00FC3FA8">
            <w:r>
              <w:rPr>
                <w:sz w:val="19"/>
              </w:rPr>
              <w:t>NO</w:t>
            </w:r>
          </w:p>
        </w:tc>
      </w:tr>
      <w:tr w:rsidR="00511738" w14:paraId="3A37CB7D" w14:textId="77777777">
        <w:trPr>
          <w:jc w:val="center"/>
        </w:trPr>
        <w:tc>
          <w:tcPr>
            <w:tcW w:w="1872" w:type="dxa"/>
            <w:shd w:val="clear" w:color="auto" w:fill="FFFFFF"/>
            <w:tcMar>
              <w:top w:w="100" w:type="dxa"/>
              <w:left w:w="150" w:type="dxa"/>
              <w:bottom w:w="100" w:type="dxa"/>
              <w:right w:w="150" w:type="dxa"/>
            </w:tcMar>
            <w:vAlign w:val="center"/>
          </w:tcPr>
          <w:p w14:paraId="64C4C577" w14:textId="77777777" w:rsidR="00511738" w:rsidRDefault="00FC3FA8">
            <w:r>
              <w:rPr>
                <w:sz w:val="19"/>
              </w:rPr>
              <w:t>Panic Attack</w:t>
            </w:r>
          </w:p>
        </w:tc>
        <w:tc>
          <w:tcPr>
            <w:tcW w:w="1008" w:type="dxa"/>
            <w:shd w:val="clear" w:color="auto" w:fill="FFFFFF"/>
            <w:tcMar>
              <w:top w:w="100" w:type="dxa"/>
              <w:left w:w="150" w:type="dxa"/>
              <w:bottom w:w="100" w:type="dxa"/>
              <w:right w:w="150" w:type="dxa"/>
            </w:tcMar>
            <w:vAlign w:val="center"/>
          </w:tcPr>
          <w:p w14:paraId="6BD852E0" w14:textId="77777777" w:rsidR="00511738" w:rsidRDefault="00FC3FA8">
            <w:r>
              <w:rPr>
                <w:sz w:val="19"/>
              </w:rPr>
              <w:t>253</w:t>
            </w:r>
          </w:p>
        </w:tc>
        <w:tc>
          <w:tcPr>
            <w:tcW w:w="1008" w:type="dxa"/>
            <w:shd w:val="clear" w:color="auto" w:fill="FFFFFF"/>
            <w:tcMar>
              <w:top w:w="100" w:type="dxa"/>
              <w:left w:w="150" w:type="dxa"/>
              <w:bottom w:w="100" w:type="dxa"/>
              <w:right w:w="150" w:type="dxa"/>
            </w:tcMar>
            <w:vAlign w:val="center"/>
          </w:tcPr>
          <w:p w14:paraId="64F043C0" w14:textId="77777777" w:rsidR="00511738" w:rsidRDefault="00FC3FA8">
            <w:r>
              <w:rPr>
                <w:sz w:val="19"/>
              </w:rPr>
              <w:t>27</w:t>
            </w:r>
          </w:p>
        </w:tc>
        <w:tc>
          <w:tcPr>
            <w:tcW w:w="2304" w:type="dxa"/>
            <w:shd w:val="clear" w:color="auto" w:fill="FFFFFF"/>
            <w:tcMar>
              <w:top w:w="100" w:type="dxa"/>
              <w:left w:w="150" w:type="dxa"/>
              <w:bottom w:w="100" w:type="dxa"/>
              <w:right w:w="150" w:type="dxa"/>
            </w:tcMar>
            <w:vAlign w:val="center"/>
          </w:tcPr>
          <w:p w14:paraId="7063F7A3" w14:textId="77777777" w:rsidR="00511738" w:rsidRDefault="00FC3FA8">
            <w:r>
              <w:rPr>
                <w:sz w:val="19"/>
              </w:rPr>
              <w:t>4.40 (2.96-6.54)</w:t>
            </w:r>
          </w:p>
        </w:tc>
        <w:tc>
          <w:tcPr>
            <w:tcW w:w="864" w:type="dxa"/>
            <w:shd w:val="clear" w:color="auto" w:fill="FFFFFF"/>
            <w:tcMar>
              <w:top w:w="100" w:type="dxa"/>
              <w:left w:w="150" w:type="dxa"/>
              <w:bottom w:w="100" w:type="dxa"/>
              <w:right w:w="150" w:type="dxa"/>
            </w:tcMar>
            <w:vAlign w:val="center"/>
          </w:tcPr>
          <w:p w14:paraId="46200EB7" w14:textId="77777777" w:rsidR="00511738" w:rsidRDefault="00FC3FA8">
            <w:r>
              <w:rPr>
                <w:sz w:val="19"/>
              </w:rPr>
              <w:t>4.39</w:t>
            </w:r>
          </w:p>
        </w:tc>
        <w:tc>
          <w:tcPr>
            <w:tcW w:w="864" w:type="dxa"/>
            <w:shd w:val="clear" w:color="auto" w:fill="FFFFFF"/>
            <w:tcMar>
              <w:top w:w="100" w:type="dxa"/>
              <w:left w:w="150" w:type="dxa"/>
              <w:bottom w:w="100" w:type="dxa"/>
              <w:right w:w="150" w:type="dxa"/>
            </w:tcMar>
            <w:vAlign w:val="center"/>
          </w:tcPr>
          <w:p w14:paraId="56E16EE7" w14:textId="77777777" w:rsidR="00511738" w:rsidRDefault="00FC3FA8">
            <w:r>
              <w:rPr>
                <w:sz w:val="19"/>
              </w:rPr>
              <w:t>62.9</w:t>
            </w:r>
          </w:p>
        </w:tc>
        <w:tc>
          <w:tcPr>
            <w:tcW w:w="1152" w:type="dxa"/>
            <w:shd w:val="clear" w:color="auto" w:fill="FFFFFF"/>
            <w:tcMar>
              <w:top w:w="100" w:type="dxa"/>
              <w:left w:w="150" w:type="dxa"/>
              <w:bottom w:w="100" w:type="dxa"/>
              <w:right w:w="150" w:type="dxa"/>
            </w:tcMar>
            <w:vAlign w:val="center"/>
          </w:tcPr>
          <w:p w14:paraId="21686764" w14:textId="77777777" w:rsidR="00511738" w:rsidRDefault="00FC3FA8">
            <w:r>
              <w:rPr>
                <w:sz w:val="19"/>
              </w:rPr>
              <w:t>2.13e-15</w:t>
            </w:r>
          </w:p>
        </w:tc>
        <w:tc>
          <w:tcPr>
            <w:tcW w:w="1008" w:type="dxa"/>
            <w:shd w:val="clear" w:color="auto" w:fill="FFFFFF"/>
            <w:tcMar>
              <w:top w:w="100" w:type="dxa"/>
              <w:left w:w="150" w:type="dxa"/>
              <w:bottom w:w="100" w:type="dxa"/>
              <w:right w:w="150" w:type="dxa"/>
            </w:tcMar>
            <w:vAlign w:val="center"/>
          </w:tcPr>
          <w:p w14:paraId="3D532824" w14:textId="77777777" w:rsidR="00511738" w:rsidRDefault="00FC3FA8">
            <w:r>
              <w:rPr>
                <w:sz w:val="19"/>
              </w:rPr>
              <w:t>YES</w:t>
            </w:r>
          </w:p>
        </w:tc>
      </w:tr>
      <w:tr w:rsidR="00511738" w14:paraId="4A4F6DE1" w14:textId="77777777">
        <w:trPr>
          <w:jc w:val="center"/>
        </w:trPr>
        <w:tc>
          <w:tcPr>
            <w:tcW w:w="1872" w:type="dxa"/>
            <w:shd w:val="clear" w:color="auto" w:fill="F2F4F7"/>
            <w:tcMar>
              <w:top w:w="100" w:type="dxa"/>
              <w:left w:w="150" w:type="dxa"/>
              <w:bottom w:w="100" w:type="dxa"/>
              <w:right w:w="150" w:type="dxa"/>
            </w:tcMar>
            <w:vAlign w:val="center"/>
          </w:tcPr>
          <w:p w14:paraId="09864F28" w14:textId="77777777" w:rsidR="00511738" w:rsidRDefault="00FC3FA8">
            <w:r>
              <w:rPr>
                <w:sz w:val="19"/>
              </w:rPr>
              <w:t>Insomnia</w:t>
            </w:r>
          </w:p>
        </w:tc>
        <w:tc>
          <w:tcPr>
            <w:tcW w:w="1008" w:type="dxa"/>
            <w:shd w:val="clear" w:color="auto" w:fill="F2F4F7"/>
            <w:tcMar>
              <w:top w:w="100" w:type="dxa"/>
              <w:left w:w="150" w:type="dxa"/>
              <w:bottom w:w="100" w:type="dxa"/>
              <w:right w:w="150" w:type="dxa"/>
            </w:tcMar>
            <w:vAlign w:val="center"/>
          </w:tcPr>
          <w:p w14:paraId="009775B8" w14:textId="77777777" w:rsidR="00511738" w:rsidRDefault="00FC3FA8">
            <w:r>
              <w:rPr>
                <w:sz w:val="19"/>
              </w:rPr>
              <w:t>1,377</w:t>
            </w:r>
          </w:p>
        </w:tc>
        <w:tc>
          <w:tcPr>
            <w:tcW w:w="1008" w:type="dxa"/>
            <w:shd w:val="clear" w:color="auto" w:fill="F2F4F7"/>
            <w:tcMar>
              <w:top w:w="100" w:type="dxa"/>
              <w:left w:w="150" w:type="dxa"/>
              <w:bottom w:w="100" w:type="dxa"/>
              <w:right w:w="150" w:type="dxa"/>
            </w:tcMar>
            <w:vAlign w:val="center"/>
          </w:tcPr>
          <w:p w14:paraId="4D8BD28F" w14:textId="77777777" w:rsidR="00511738" w:rsidRDefault="00FC3FA8">
            <w:r>
              <w:rPr>
                <w:sz w:val="19"/>
              </w:rPr>
              <w:t>672</w:t>
            </w:r>
          </w:p>
        </w:tc>
        <w:tc>
          <w:tcPr>
            <w:tcW w:w="2304" w:type="dxa"/>
            <w:shd w:val="clear" w:color="auto" w:fill="F2F4F7"/>
            <w:tcMar>
              <w:top w:w="100" w:type="dxa"/>
              <w:left w:w="150" w:type="dxa"/>
              <w:bottom w:w="100" w:type="dxa"/>
              <w:right w:w="150" w:type="dxa"/>
            </w:tcMar>
            <w:vAlign w:val="center"/>
          </w:tcPr>
          <w:p w14:paraId="08199311" w14:textId="77777777" w:rsidR="00511738" w:rsidRDefault="00FC3FA8">
            <w:r>
              <w:rPr>
                <w:sz w:val="19"/>
              </w:rPr>
              <w:t>0.96 (0.87-1.05)</w:t>
            </w:r>
          </w:p>
        </w:tc>
        <w:tc>
          <w:tcPr>
            <w:tcW w:w="864" w:type="dxa"/>
            <w:shd w:val="clear" w:color="auto" w:fill="F2F4F7"/>
            <w:tcMar>
              <w:top w:w="100" w:type="dxa"/>
              <w:left w:w="150" w:type="dxa"/>
              <w:bottom w:w="100" w:type="dxa"/>
              <w:right w:w="150" w:type="dxa"/>
            </w:tcMar>
            <w:vAlign w:val="center"/>
          </w:tcPr>
          <w:p w14:paraId="582BAD52" w14:textId="77777777" w:rsidR="00511738" w:rsidRDefault="00FC3FA8">
            <w:r>
              <w:rPr>
                <w:sz w:val="19"/>
              </w:rPr>
              <w:t>0.96</w:t>
            </w:r>
          </w:p>
        </w:tc>
        <w:tc>
          <w:tcPr>
            <w:tcW w:w="864" w:type="dxa"/>
            <w:shd w:val="clear" w:color="auto" w:fill="F2F4F7"/>
            <w:tcMar>
              <w:top w:w="100" w:type="dxa"/>
              <w:left w:w="150" w:type="dxa"/>
              <w:bottom w:w="100" w:type="dxa"/>
              <w:right w:w="150" w:type="dxa"/>
            </w:tcMar>
            <w:vAlign w:val="center"/>
          </w:tcPr>
          <w:p w14:paraId="1EA4FAD5" w14:textId="77777777" w:rsidR="00511738" w:rsidRDefault="00FC3FA8">
            <w:r>
              <w:rPr>
                <w:sz w:val="19"/>
              </w:rPr>
              <w:t>0.7</w:t>
            </w:r>
          </w:p>
        </w:tc>
        <w:tc>
          <w:tcPr>
            <w:tcW w:w="1152" w:type="dxa"/>
            <w:shd w:val="clear" w:color="auto" w:fill="F2F4F7"/>
            <w:tcMar>
              <w:top w:w="100" w:type="dxa"/>
              <w:left w:w="150" w:type="dxa"/>
              <w:bottom w:w="100" w:type="dxa"/>
              <w:right w:w="150" w:type="dxa"/>
            </w:tcMar>
            <w:vAlign w:val="center"/>
          </w:tcPr>
          <w:p w14:paraId="3A378144" w14:textId="77777777" w:rsidR="00511738" w:rsidRDefault="00FC3FA8">
            <w:r>
              <w:rPr>
                <w:sz w:val="19"/>
              </w:rPr>
              <w:t>0.393</w:t>
            </w:r>
          </w:p>
        </w:tc>
        <w:tc>
          <w:tcPr>
            <w:tcW w:w="1008" w:type="dxa"/>
            <w:shd w:val="clear" w:color="auto" w:fill="F2F4F7"/>
            <w:tcMar>
              <w:top w:w="100" w:type="dxa"/>
              <w:left w:w="150" w:type="dxa"/>
              <w:bottom w:w="100" w:type="dxa"/>
              <w:right w:w="150" w:type="dxa"/>
            </w:tcMar>
            <w:vAlign w:val="center"/>
          </w:tcPr>
          <w:p w14:paraId="7E66D6E8" w14:textId="77777777" w:rsidR="00511738" w:rsidRDefault="00FC3FA8">
            <w:r>
              <w:rPr>
                <w:sz w:val="19"/>
              </w:rPr>
              <w:t>NO</w:t>
            </w:r>
          </w:p>
        </w:tc>
      </w:tr>
    </w:tbl>
    <w:p w14:paraId="64372448" w14:textId="77777777" w:rsidR="00511738" w:rsidRDefault="00511738"/>
    <w:p w14:paraId="3277CC4D" w14:textId="77777777" w:rsidR="00511738" w:rsidRDefault="00FC3FA8">
      <w:pPr>
        <w:keepNext/>
        <w:spacing w:before="360"/>
      </w:pPr>
      <w:r>
        <w:rPr>
          <w:b/>
          <w:color w:val="1F497D"/>
          <w:sz w:val="32"/>
        </w:rPr>
        <w:t>6. High-Resolution Visualizations and Figure Interpretations</w:t>
      </w:r>
    </w:p>
    <w:p w14:paraId="38E58043" w14:textId="77777777" w:rsidR="00511738" w:rsidRDefault="00FC3FA8">
      <w:r>
        <w:t>Eight publication-quality figures were programmatically generated at 300 DPI to communicate the statistical findings.</w:t>
      </w:r>
    </w:p>
    <w:p w14:paraId="57765F75" w14:textId="77777777" w:rsidR="00511738" w:rsidRDefault="00FC3FA8">
      <w:pPr>
        <w:keepNext/>
        <w:spacing w:before="240" w:after="80"/>
      </w:pPr>
      <w:r>
        <w:rPr>
          <w:b/>
          <w:color w:val="366092"/>
          <w:sz w:val="26"/>
        </w:rPr>
        <w:lastRenderedPageBreak/>
        <w:t>Figure 1. Total Adverse Event Reports by Drug Class in FAERS</w:t>
      </w:r>
    </w:p>
    <w:p w14:paraId="7338F287" w14:textId="77777777" w:rsidR="00511738" w:rsidRDefault="00FC3FA8">
      <w:r>
        <w:rPr>
          <w:noProof/>
        </w:rPr>
        <w:drawing>
          <wp:inline distT="0" distB="0" distL="0" distR="0" wp14:anchorId="2C186151" wp14:editId="3E5A2223">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otal_reports.png"/>
                    <pic:cNvPicPr/>
                  </pic:nvPicPr>
                  <pic:blipFill>
                    <a:blip r:embed="rId8"/>
                    <a:stretch>
                      <a:fillRect/>
                    </a:stretch>
                  </pic:blipFill>
                  <pic:spPr>
                    <a:xfrm>
                      <a:off x="0" y="0"/>
                      <a:ext cx="5486400" cy="4114800"/>
                    </a:xfrm>
                    <a:prstGeom prst="rect">
                      <a:avLst/>
                    </a:prstGeom>
                  </pic:spPr>
                </pic:pic>
              </a:graphicData>
            </a:graphic>
          </wp:inline>
        </w:drawing>
      </w:r>
    </w:p>
    <w:p w14:paraId="6ABD1BE1" w14:textId="77777777" w:rsidR="00511738" w:rsidRDefault="00FC3FA8">
      <w:pPr>
        <w:spacing w:before="80" w:after="240"/>
      </w:pPr>
      <w:r>
        <w:rPr>
          <w:i/>
          <w:sz w:val="19"/>
        </w:rPr>
        <w:t>Figure Note: Demonstrates the substantial post-marketing reporting volume for semaglutide (100,912 reports) reflecting exponential market uptake relative to active comparator SGLT2 inhibitors (47,266 reports).</w:t>
      </w:r>
    </w:p>
    <w:p w14:paraId="73E363DF" w14:textId="77777777" w:rsidR="00511738" w:rsidRDefault="00FC3FA8">
      <w:pPr>
        <w:keepNext/>
        <w:spacing w:before="240" w:after="80"/>
      </w:pPr>
      <w:r>
        <w:rPr>
          <w:b/>
          <w:color w:val="366092"/>
          <w:sz w:val="26"/>
        </w:rPr>
        <w:lastRenderedPageBreak/>
        <w:t>Figure 2. Frequency Distribution of Psychiatric Adverse Events for Semaglutide</w:t>
      </w:r>
    </w:p>
    <w:p w14:paraId="757B59BF" w14:textId="77777777" w:rsidR="00511738" w:rsidRDefault="00FC3FA8">
      <w:r>
        <w:rPr>
          <w:noProof/>
        </w:rPr>
        <w:drawing>
          <wp:inline distT="0" distB="0" distL="0" distR="0" wp14:anchorId="22DC7E05" wp14:editId="7FDB4F78">
            <wp:extent cx="54864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ma_psych_dist.png"/>
                    <pic:cNvPicPr/>
                  </pic:nvPicPr>
                  <pic:blipFill>
                    <a:blip r:embed="rId9"/>
                    <a:stretch>
                      <a:fillRect/>
                    </a:stretch>
                  </pic:blipFill>
                  <pic:spPr>
                    <a:xfrm>
                      <a:off x="0" y="0"/>
                      <a:ext cx="5486400" cy="3291840"/>
                    </a:xfrm>
                    <a:prstGeom prst="rect">
                      <a:avLst/>
                    </a:prstGeom>
                  </pic:spPr>
                </pic:pic>
              </a:graphicData>
            </a:graphic>
          </wp:inline>
        </w:drawing>
      </w:r>
    </w:p>
    <w:p w14:paraId="182ED86B" w14:textId="77777777" w:rsidR="00511738" w:rsidRDefault="00FC3FA8">
      <w:pPr>
        <w:spacing w:before="80" w:after="240"/>
      </w:pPr>
      <w:r>
        <w:rPr>
          <w:i/>
          <w:sz w:val="19"/>
        </w:rPr>
        <w:t>Figure Note: Illustrates case volume breakdown across MedDRA preferred terms. Anxiety (1,878 reports) and Depression (1,730 reports) represent the most frequent absolute counts, followed by Insomnia (1,377) and Suicidal Ideation (776).</w:t>
      </w:r>
    </w:p>
    <w:p w14:paraId="5831473A" w14:textId="77777777" w:rsidR="00511738" w:rsidRDefault="00FC3FA8">
      <w:pPr>
        <w:keepNext/>
        <w:spacing w:before="240" w:after="80"/>
      </w:pPr>
      <w:r>
        <w:rPr>
          <w:b/>
          <w:color w:val="366092"/>
          <w:sz w:val="26"/>
        </w:rPr>
        <w:t>Figure 3. Reporting Odds Ratio (ROR) Forest Plot with 95% Confidence Intervals</w:t>
      </w:r>
    </w:p>
    <w:p w14:paraId="75866B69" w14:textId="77777777" w:rsidR="00511738" w:rsidRDefault="00FC3FA8">
      <w:r>
        <w:rPr>
          <w:noProof/>
        </w:rPr>
        <w:drawing>
          <wp:inline distT="0" distB="0" distL="0" distR="0" wp14:anchorId="1B849DA4" wp14:editId="49A0578C">
            <wp:extent cx="54864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orest_plot.png"/>
                    <pic:cNvPicPr/>
                  </pic:nvPicPr>
                  <pic:blipFill>
                    <a:blip r:embed="rId10"/>
                    <a:stretch>
                      <a:fillRect/>
                    </a:stretch>
                  </pic:blipFill>
                  <pic:spPr>
                    <a:xfrm>
                      <a:off x="0" y="0"/>
                      <a:ext cx="5486400" cy="3291840"/>
                    </a:xfrm>
                    <a:prstGeom prst="rect">
                      <a:avLst/>
                    </a:prstGeom>
                  </pic:spPr>
                </pic:pic>
              </a:graphicData>
            </a:graphic>
          </wp:inline>
        </w:drawing>
      </w:r>
    </w:p>
    <w:p w14:paraId="40D39833" w14:textId="77777777" w:rsidR="00511738" w:rsidRDefault="00FC3FA8">
      <w:pPr>
        <w:spacing w:before="80" w:after="240"/>
      </w:pPr>
      <w:r>
        <w:rPr>
          <w:i/>
          <w:sz w:val="19"/>
        </w:rPr>
        <w:t>Figure Note: Key inferential figure depicting ROR point estimates and 95% confidence bounds. Panic attacks (ROR 4.40), Suicidal ideation (ROR 2.61), and Depressed mood (ROR 2.11) clearly separate from the null boundary (ROR = 1.0).</w:t>
      </w:r>
    </w:p>
    <w:p w14:paraId="1082BC84" w14:textId="77777777" w:rsidR="00511738" w:rsidRDefault="00FC3FA8">
      <w:pPr>
        <w:keepNext/>
        <w:spacing w:before="240" w:after="80"/>
      </w:pPr>
      <w:r>
        <w:rPr>
          <w:b/>
          <w:color w:val="366092"/>
          <w:sz w:val="26"/>
        </w:rPr>
        <w:lastRenderedPageBreak/>
        <w:t>Figure 4. Comparative Reporting Rates per 10,000 Total Adverse Event Reports</w:t>
      </w:r>
    </w:p>
    <w:p w14:paraId="0286BB38" w14:textId="77777777" w:rsidR="00511738" w:rsidRDefault="00FC3FA8">
      <w:r>
        <w:rPr>
          <w:noProof/>
        </w:rPr>
        <w:drawing>
          <wp:inline distT="0" distB="0" distL="0" distR="0" wp14:anchorId="274B6DD4" wp14:editId="13C11AEF">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rouped_comparison.png"/>
                    <pic:cNvPicPr/>
                  </pic:nvPicPr>
                  <pic:blipFill>
                    <a:blip r:embed="rId11"/>
                    <a:stretch>
                      <a:fillRect/>
                    </a:stretch>
                  </pic:blipFill>
                  <pic:spPr>
                    <a:xfrm>
                      <a:off x="0" y="0"/>
                      <a:ext cx="5486400" cy="2743200"/>
                    </a:xfrm>
                    <a:prstGeom prst="rect">
                      <a:avLst/>
                    </a:prstGeom>
                  </pic:spPr>
                </pic:pic>
              </a:graphicData>
            </a:graphic>
          </wp:inline>
        </w:drawing>
      </w:r>
    </w:p>
    <w:p w14:paraId="05C90DB7" w14:textId="77777777" w:rsidR="00511738" w:rsidRDefault="00FC3FA8">
      <w:pPr>
        <w:spacing w:before="80" w:after="240"/>
      </w:pPr>
      <w:r>
        <w:rPr>
          <w:i/>
          <w:sz w:val="19"/>
        </w:rPr>
        <w:t>Figure Note: Standardized event rate comparison. Semaglutide exhibits 76.9 suicidal ideation reports per 10,000 reports compared to only 29.6 per 10,000 for SGLT2 inhibitors, representing a 2.6-fold reporting rate disparity.</w:t>
      </w:r>
    </w:p>
    <w:p w14:paraId="0D1FEC12" w14:textId="77777777" w:rsidR="00511738" w:rsidRDefault="00FC3FA8">
      <w:pPr>
        <w:keepNext/>
        <w:spacing w:before="240" w:after="80"/>
      </w:pPr>
      <w:r>
        <w:rPr>
          <w:b/>
          <w:color w:val="366092"/>
          <w:sz w:val="26"/>
        </w:rPr>
        <w:lastRenderedPageBreak/>
        <w:t>Figure 5. Proportion of Psychiatric vs Non-Psychiatric ADRs for Semaglutide</w:t>
      </w:r>
    </w:p>
    <w:p w14:paraId="1CB016B2" w14:textId="77777777" w:rsidR="00511738" w:rsidRDefault="00FC3FA8">
      <w:r>
        <w:rPr>
          <w:noProof/>
        </w:rPr>
        <w:drawing>
          <wp:inline distT="0" distB="0" distL="0" distR="0" wp14:anchorId="72331026" wp14:editId="2BFF6D07">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ie_chart.png"/>
                    <pic:cNvPicPr/>
                  </pic:nvPicPr>
                  <pic:blipFill>
                    <a:blip r:embed="rId12"/>
                    <a:stretch>
                      <a:fillRect/>
                    </a:stretch>
                  </pic:blipFill>
                  <pic:spPr>
                    <a:xfrm>
                      <a:off x="0" y="0"/>
                      <a:ext cx="5486400" cy="5486400"/>
                    </a:xfrm>
                    <a:prstGeom prst="rect">
                      <a:avLst/>
                    </a:prstGeom>
                  </pic:spPr>
                </pic:pic>
              </a:graphicData>
            </a:graphic>
          </wp:inline>
        </w:drawing>
      </w:r>
    </w:p>
    <w:p w14:paraId="2A635CAC" w14:textId="77777777" w:rsidR="00511738" w:rsidRDefault="00FC3FA8">
      <w:pPr>
        <w:spacing w:before="80" w:after="240"/>
      </w:pPr>
      <w:r>
        <w:rPr>
          <w:i/>
          <w:sz w:val="19"/>
        </w:rPr>
        <w:t>Figure Note: Shows that psychiatric adverse events account for 6.58% (6,640 reports) of total semaglutide adverse reactions, while non-psychiatric organ systems (gastrointestinal, metabolic) comprise 93.42%.</w:t>
      </w:r>
    </w:p>
    <w:p w14:paraId="40E6F34C" w14:textId="77777777" w:rsidR="00511738" w:rsidRDefault="00FC3FA8">
      <w:pPr>
        <w:keepNext/>
        <w:spacing w:before="240" w:after="80"/>
      </w:pPr>
      <w:r>
        <w:rPr>
          <w:b/>
          <w:color w:val="366092"/>
          <w:sz w:val="26"/>
        </w:rPr>
        <w:lastRenderedPageBreak/>
        <w:t>Figure 6. Longitudinal Reporting Trends of Psychiatric ADRs (2018–2025)</w:t>
      </w:r>
    </w:p>
    <w:p w14:paraId="77108904" w14:textId="77777777" w:rsidR="00511738" w:rsidRDefault="00FC3FA8">
      <w:r>
        <w:rPr>
          <w:noProof/>
        </w:rPr>
        <w:drawing>
          <wp:inline distT="0" distB="0" distL="0" distR="0" wp14:anchorId="01067CB0" wp14:editId="70EA28ED">
            <wp:extent cx="54864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emporal_trend.png"/>
                    <pic:cNvPicPr/>
                  </pic:nvPicPr>
                  <pic:blipFill>
                    <a:blip r:embed="rId13"/>
                    <a:stretch>
                      <a:fillRect/>
                    </a:stretch>
                  </pic:blipFill>
                  <pic:spPr>
                    <a:xfrm>
                      <a:off x="0" y="0"/>
                      <a:ext cx="5486400" cy="3291840"/>
                    </a:xfrm>
                    <a:prstGeom prst="rect">
                      <a:avLst/>
                    </a:prstGeom>
                  </pic:spPr>
                </pic:pic>
              </a:graphicData>
            </a:graphic>
          </wp:inline>
        </w:drawing>
      </w:r>
    </w:p>
    <w:p w14:paraId="5065598F" w14:textId="77777777" w:rsidR="00511738" w:rsidRDefault="00FC3FA8">
      <w:pPr>
        <w:spacing w:before="80" w:after="240"/>
      </w:pPr>
      <w:r>
        <w:rPr>
          <w:i/>
          <w:sz w:val="19"/>
        </w:rPr>
        <w:t>Figure Note: Highlights exponential escalation in semaglutide psychiatric reporting starting in late 2021 following Wegovy FDA approval and viral media coverage, in contrast to linear reporting for SGLT2 inhibitors.</w:t>
      </w:r>
    </w:p>
    <w:p w14:paraId="5B29AD92" w14:textId="77777777" w:rsidR="00511738" w:rsidRDefault="00FC3FA8">
      <w:pPr>
        <w:keepNext/>
        <w:spacing w:before="240" w:after="80"/>
      </w:pPr>
      <w:r>
        <w:rPr>
          <w:b/>
          <w:color w:val="366092"/>
          <w:sz w:val="26"/>
        </w:rPr>
        <w:lastRenderedPageBreak/>
        <w:t>Figure 7. Signal Strength Heatmap across MedDRA Preferred Terms</w:t>
      </w:r>
    </w:p>
    <w:p w14:paraId="68F4A615" w14:textId="77777777" w:rsidR="00511738" w:rsidRDefault="00FC3FA8">
      <w:r>
        <w:rPr>
          <w:noProof/>
        </w:rPr>
        <w:drawing>
          <wp:inline distT="0" distB="0" distL="0" distR="0" wp14:anchorId="623106C1" wp14:editId="0DDD0CD5">
            <wp:extent cx="5486400" cy="62701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ignal_heatmap.png"/>
                    <pic:cNvPicPr/>
                  </pic:nvPicPr>
                  <pic:blipFill>
                    <a:blip r:embed="rId14"/>
                    <a:stretch>
                      <a:fillRect/>
                    </a:stretch>
                  </pic:blipFill>
                  <pic:spPr>
                    <a:xfrm>
                      <a:off x="0" y="0"/>
                      <a:ext cx="5486400" cy="6270171"/>
                    </a:xfrm>
                    <a:prstGeom prst="rect">
                      <a:avLst/>
                    </a:prstGeom>
                  </pic:spPr>
                </pic:pic>
              </a:graphicData>
            </a:graphic>
          </wp:inline>
        </w:drawing>
      </w:r>
    </w:p>
    <w:p w14:paraId="0C9470FD" w14:textId="77777777" w:rsidR="00511738" w:rsidRDefault="00FC3FA8">
      <w:pPr>
        <w:spacing w:before="80" w:after="240"/>
      </w:pPr>
      <w:r>
        <w:rPr>
          <w:i/>
          <w:sz w:val="19"/>
        </w:rPr>
        <w:t>Figure Note: Color-coded matrix indexing ROR magnitude. Darker hues represent high signal intensity for Panic Attack (4.40), Suicidal Ideation (2.61), and Depressed Mood (2.11).</w:t>
      </w:r>
    </w:p>
    <w:p w14:paraId="35BF48F7" w14:textId="77777777" w:rsidR="00511738" w:rsidRDefault="00FC3FA8">
      <w:pPr>
        <w:keepNext/>
        <w:spacing w:before="240" w:after="80"/>
      </w:pPr>
      <w:r>
        <w:rPr>
          <w:b/>
          <w:color w:val="366092"/>
          <w:sz w:val="26"/>
        </w:rPr>
        <w:lastRenderedPageBreak/>
        <w:t>Figure 8. Serious Outcome Distribution in Reported Psychiatric Events</w:t>
      </w:r>
    </w:p>
    <w:p w14:paraId="065F0845" w14:textId="77777777" w:rsidR="00511738" w:rsidRDefault="00FC3FA8">
      <w:r>
        <w:rPr>
          <w:noProof/>
        </w:rPr>
        <w:drawing>
          <wp:inline distT="0" distB="0" distL="0" distR="0" wp14:anchorId="7441FE60" wp14:editId="22C88F27">
            <wp:extent cx="548640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outcome_severity.png"/>
                    <pic:cNvPicPr/>
                  </pic:nvPicPr>
                  <pic:blipFill>
                    <a:blip r:embed="rId15"/>
                    <a:stretch>
                      <a:fillRect/>
                    </a:stretch>
                  </pic:blipFill>
                  <pic:spPr>
                    <a:xfrm>
                      <a:off x="0" y="0"/>
                      <a:ext cx="5486400" cy="3291840"/>
                    </a:xfrm>
                    <a:prstGeom prst="rect">
                      <a:avLst/>
                    </a:prstGeom>
                  </pic:spPr>
                </pic:pic>
              </a:graphicData>
            </a:graphic>
          </wp:inline>
        </w:drawing>
      </w:r>
    </w:p>
    <w:p w14:paraId="06CCFF0F" w14:textId="77777777" w:rsidR="00511738" w:rsidRDefault="00FC3FA8">
      <w:pPr>
        <w:spacing w:before="80" w:after="240"/>
      </w:pPr>
      <w:r>
        <w:rPr>
          <w:i/>
          <w:sz w:val="19"/>
        </w:rPr>
        <w:t>Figure Note: Depicts clinical severity proportions. Among reported psychiatric events, hospitalization occurred in 44.2% of semaglutide cases and 46.8% of SGLT2i cases; life-threatening episodes occurred in 8.5% and 6.2% respectively.</w:t>
      </w:r>
    </w:p>
    <w:p w14:paraId="01619A93" w14:textId="77777777" w:rsidR="00511738" w:rsidRDefault="00FC3FA8">
      <w:pPr>
        <w:keepNext/>
        <w:spacing w:before="360"/>
      </w:pPr>
      <w:r>
        <w:rPr>
          <w:b/>
          <w:color w:val="1F497D"/>
          <w:sz w:val="32"/>
        </w:rPr>
        <w:t>7. Methodological Discussion, Bias Evaluation, and Study Limitations</w:t>
      </w:r>
    </w:p>
    <w:p w14:paraId="1873AEC1" w14:textId="77777777" w:rsidR="00511738" w:rsidRDefault="00FC3FA8">
      <w:r>
        <w:t>The identification of statistically significant disproportionality for suicidal ideation (ROR 2.61), panic attacks (ROR 4.40), and depressed mood (ROR 2.11) requires rigorous critical appraisal. Disproportionality in spontaneous databases is a measure of relative reporting frequency, NOT biological incidence or causation.</w:t>
      </w:r>
    </w:p>
    <w:p w14:paraId="2903E22E" w14:textId="77777777" w:rsidR="00511738" w:rsidRDefault="00FC3FA8">
      <w:r>
        <w:t>Crucial biases operative in this dataset include:</w:t>
      </w:r>
      <w:r>
        <w:br/>
        <w:t>1. Notoriety and Stimulated Reporting: Following international press coverage in mid-2023 regarding European regulatory investigations into GLP-1 suicidality, spontaneous submissions surged. This stimulated reporting inevitably elevates ROR metrics independently of true risk.</w:t>
      </w:r>
      <w:r>
        <w:br/>
        <w:t>2. Confounding by Indication: Semaglutide is prescribed extensively for severe obesity. Major depressive disorder and affective dysregulation have a markedly higher baseline prevalence in obesity cohorts compared to patients managed solely for mild diabetes.</w:t>
      </w:r>
      <w:r>
        <w:br/>
        <w:t>3. Absence of Denominator Exposure: FAERS does not capture total prescription volume. Because semaglutide usage expanded by over 400% between 2021 and 2024, higher absolute report counts are an expected consequence of massive patient exposure.</w:t>
      </w:r>
    </w:p>
    <w:p w14:paraId="1508C94E" w14:textId="77777777" w:rsidR="00511738" w:rsidRDefault="00FC3FA8">
      <w:pPr>
        <w:keepNext/>
        <w:spacing w:before="360"/>
      </w:pPr>
      <w:r>
        <w:rPr>
          <w:b/>
          <w:color w:val="1F497D"/>
          <w:sz w:val="32"/>
        </w:rPr>
        <w:lastRenderedPageBreak/>
        <w:t>8. Clinical and Regulatory Recommendations</w:t>
      </w:r>
    </w:p>
    <w:p w14:paraId="0D1F7537" w14:textId="77777777" w:rsidR="00511738" w:rsidRDefault="00FC3FA8">
      <w:r>
        <w:t>Based on these empirical findings:</w:t>
      </w:r>
      <w:r>
        <w:br/>
        <w:t>• Healthcare providers should conduct routine baseline psychiatric assessments before initiating semaglutide, particularly in patients with personal or familial histories of depressive illness.</w:t>
      </w:r>
      <w:r>
        <w:br/>
        <w:t>• Regulatory agencies should continue active surveillance but avoid premature black-box warnings that might deter patients from cardiometabolically life-saving therapy without definitive prospective proof.</w:t>
      </w:r>
      <w:r>
        <w:br/>
        <w:t>• A prospective active-surveillance cohort study with active comparators is urgently indicated to overcome the intrinsic limitations of FAERS.</w:t>
      </w:r>
    </w:p>
    <w:p w14:paraId="0AE07FD6" w14:textId="77777777" w:rsidR="00511738" w:rsidRDefault="00FC3FA8">
      <w:pPr>
        <w:keepNext/>
        <w:spacing w:before="360"/>
      </w:pPr>
      <w:r>
        <w:rPr>
          <w:b/>
          <w:color w:val="1F497D"/>
          <w:sz w:val="32"/>
        </w:rPr>
        <w:t>9. References (APA 7th Edition)</w:t>
      </w:r>
    </w:p>
    <w:p w14:paraId="6194DD17" w14:textId="77777777" w:rsidR="00511738" w:rsidRDefault="00FC3FA8">
      <w:pPr>
        <w:ind w:left="720" w:hanging="720"/>
      </w:pPr>
      <w:r>
        <w:rPr>
          <w:sz w:val="20"/>
        </w:rPr>
        <w:t>Food and Drug Administration. (2024). FDA Adverse Event Reporting System (FAERS) Public Dashboard and OpenFDA API Documentation. U.S. Department of Health and Human Services.</w:t>
      </w:r>
    </w:p>
    <w:p w14:paraId="26F2A139" w14:textId="77777777" w:rsidR="00511738" w:rsidRDefault="00FC3FA8">
      <w:pPr>
        <w:ind w:left="720" w:hanging="720"/>
      </w:pPr>
      <w:r>
        <w:rPr>
          <w:sz w:val="20"/>
        </w:rPr>
        <w:t>Khouri, C., et al. (2024). The REporting of A Disproportionality Analysis for DrUg Safety Signal Detection Using Individual Case Safety Reports in PharmacoVigilance (READUS-PV): Explanation and Elaboration. Drug Safety, 47(6), 541-558.</w:t>
      </w:r>
    </w:p>
    <w:p w14:paraId="451FCC0B" w14:textId="77777777" w:rsidR="00511738" w:rsidRDefault="00FC3FA8">
      <w:pPr>
        <w:ind w:left="720" w:hanging="720"/>
      </w:pPr>
      <w:r>
        <w:rPr>
          <w:sz w:val="20"/>
        </w:rPr>
        <w:t>McIntyre, R. S., et al. (2024). The association between glucagon-like peptide-1 receptor agonists and suicidality: reports to FAERS. Expert Opinion on Drug Safety, 23(3), 311-317.</w:t>
      </w:r>
    </w:p>
    <w:p w14:paraId="6FE38EA5" w14:textId="77777777" w:rsidR="00511738" w:rsidRDefault="00FC3FA8">
      <w:pPr>
        <w:ind w:left="720" w:hanging="720"/>
      </w:pPr>
      <w:r>
        <w:rPr>
          <w:sz w:val="20"/>
        </w:rPr>
        <w:t>Schoretsanitis, G., et al. (2024). Disproportionality Analysis From World Health Organization Data on Semaglutide, Liraglutide, and Suicidality. JAMA Network Open, 7(8), e2423385.</w:t>
      </w:r>
    </w:p>
    <w:p w14:paraId="07E4492E" w14:textId="77777777" w:rsidR="00511738" w:rsidRDefault="00FC3FA8">
      <w:pPr>
        <w:ind w:left="720" w:hanging="720"/>
      </w:pPr>
      <w:r>
        <w:rPr>
          <w:sz w:val="20"/>
        </w:rPr>
        <w:t>Wang, W., Volkow, N. D., et al. (2024). Association of semaglutide with risk of suicidal ideation in a real-world cohort. Nature Medicine, 30(1), 168-176.</w:t>
      </w:r>
    </w:p>
    <w:p w14:paraId="5BD8194A" w14:textId="77777777" w:rsidR="00511738" w:rsidRDefault="00FC3FA8">
      <w:pPr>
        <w:ind w:left="720" w:hanging="720"/>
      </w:pPr>
      <w:r>
        <w:rPr>
          <w:sz w:val="20"/>
        </w:rPr>
        <w:t>Wilding, J. P. H., et al. (2021). Once-Weekly Semaglutide in Adults with Overweight or Obesity (STEP 1 Trial). New England Journal of Medicine, 384(11), 989-1002.</w:t>
      </w:r>
    </w:p>
    <w:sectPr w:rsidR="00511738" w:rsidSect="00034616">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1A86E" w14:textId="77777777" w:rsidR="001328F6" w:rsidRDefault="001328F6">
      <w:pPr>
        <w:spacing w:after="0" w:line="240" w:lineRule="auto"/>
      </w:pPr>
      <w:r>
        <w:separator/>
      </w:r>
    </w:p>
  </w:endnote>
  <w:endnote w:type="continuationSeparator" w:id="0">
    <w:p w14:paraId="142865C5" w14:textId="77777777" w:rsidR="001328F6" w:rsidRDefault="00132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3FDA3" w14:textId="77777777" w:rsidR="00511738" w:rsidRDefault="00FC3FA8">
    <w:pPr>
      <w:pStyle w:val="Footer"/>
      <w:jc w:val="center"/>
    </w:pPr>
    <w:r>
      <w:rPr>
        <w:color w:val="808080"/>
        <w:sz w:val="17"/>
      </w:rPr>
      <w:t>Confidential Academic Research Portfolio | AntiGravity Enterprise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81BCC" w14:textId="77777777" w:rsidR="001328F6" w:rsidRDefault="001328F6">
      <w:pPr>
        <w:spacing w:after="0" w:line="240" w:lineRule="auto"/>
      </w:pPr>
      <w:r>
        <w:separator/>
      </w:r>
    </w:p>
  </w:footnote>
  <w:footnote w:type="continuationSeparator" w:id="0">
    <w:p w14:paraId="336C0233" w14:textId="77777777" w:rsidR="001328F6" w:rsidRDefault="001328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B39D" w14:textId="77777777" w:rsidR="00511738" w:rsidRDefault="00FC3FA8">
    <w:pPr>
      <w:pStyle w:val="Header"/>
      <w:jc w:val="right"/>
    </w:pPr>
    <w:r>
      <w:rPr>
        <w:i/>
        <w:color w:val="808080"/>
        <w:sz w:val="17"/>
      </w:rPr>
      <w:t>Pharmaceutical Research Assistant Internship | Research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9659466">
    <w:abstractNumId w:val="8"/>
  </w:num>
  <w:num w:numId="2" w16cid:durableId="1967881764">
    <w:abstractNumId w:val="6"/>
  </w:num>
  <w:num w:numId="3" w16cid:durableId="1566531377">
    <w:abstractNumId w:val="5"/>
  </w:num>
  <w:num w:numId="4" w16cid:durableId="656809348">
    <w:abstractNumId w:val="4"/>
  </w:num>
  <w:num w:numId="5" w16cid:durableId="200869071">
    <w:abstractNumId w:val="7"/>
  </w:num>
  <w:num w:numId="6" w16cid:durableId="1746294946">
    <w:abstractNumId w:val="3"/>
  </w:num>
  <w:num w:numId="7" w16cid:durableId="598487427">
    <w:abstractNumId w:val="2"/>
  </w:num>
  <w:num w:numId="8" w16cid:durableId="665480010">
    <w:abstractNumId w:val="1"/>
  </w:num>
  <w:num w:numId="9" w16cid:durableId="177420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8F6"/>
    <w:rsid w:val="0015074B"/>
    <w:rsid w:val="002570D6"/>
    <w:rsid w:val="0029639D"/>
    <w:rsid w:val="002F23EA"/>
    <w:rsid w:val="00326F90"/>
    <w:rsid w:val="00511738"/>
    <w:rsid w:val="00644C21"/>
    <w:rsid w:val="006E7F49"/>
    <w:rsid w:val="00704B5C"/>
    <w:rsid w:val="007A7ECF"/>
    <w:rsid w:val="00925440"/>
    <w:rsid w:val="009964B3"/>
    <w:rsid w:val="00AA1D8D"/>
    <w:rsid w:val="00B47730"/>
    <w:rsid w:val="00BA53FF"/>
    <w:rsid w:val="00C2339E"/>
    <w:rsid w:val="00CB0664"/>
    <w:rsid w:val="00F5079A"/>
    <w:rsid w:val="00FC3F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D4E6A2-133A-46A7-98DD-F1D121C6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2051</Words>
  <Characters>11696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aryanvishwakarma2005@outlook.com</cp:lastModifiedBy>
  <cp:revision>8</cp:revision>
  <cp:lastPrinted>2026-09-19T05:52:00Z</cp:lastPrinted>
  <dcterms:created xsi:type="dcterms:W3CDTF">2013-12-23T23:15:00Z</dcterms:created>
  <dcterms:modified xsi:type="dcterms:W3CDTF">2026-09-19T06:17:00Z</dcterms:modified>
  <cp:category/>
</cp:coreProperties>
</file>