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color w:val="000000"/>
          <w:sz w:val="24"/>
          <w:szCs w:val="24"/>
        </w:rPr>
        <w:t xml:space="preserve">Universidad Autónoma de Occidente</w:t>
      </w:r>
    </w:p>
    <w:p>
      <w:pPr>
        <w:spacing w:after="80"/>
        <w:jc w:val="center"/>
      </w:pPr>
      <w:r>
        <w:rPr>
          <w:rFonts w:ascii="Arial" w:cs="Arial" w:eastAsia="Arial" w:hAnsi="Arial"/>
          <w:color w:val="000000"/>
          <w:sz w:val="24"/>
          <w:szCs w:val="24"/>
        </w:rPr>
        <w:t xml:space="preserve">Facultad de Ingeniería y Ciencias Básicas</w:t>
      </w:r>
    </w:p>
    <w:p>
      <w:pPr>
        <w:spacing w:after="80"/>
        <w:jc w:val="center"/>
      </w:pPr>
      <w:r>
        <w:rPr>
          <w:rFonts w:ascii="Arial" w:cs="Arial" w:eastAsia="Arial" w:hAnsi="Arial"/>
          <w:color w:val="000000"/>
          <w:sz w:val="24"/>
          <w:szCs w:val="24"/>
        </w:rPr>
        <w:t xml:space="preserve">Extracción, Transformación y Carga (ETL)</w:t>
      </w:r>
    </w:p>
    <w:p>
      <w:pPr>
        <w:spacing w:after="200" w:before="600"/>
        <w:jc w:val="center"/>
      </w:pPr>
      <w:r>
        <w:rPr>
          <w:rFonts w:ascii="Arial" w:cs="Arial" w:eastAsia="Arial" w:hAnsi="Arial"/>
          <w:b/>
          <w:bCs/>
          <w:color w:val="000000"/>
          <w:sz w:val="30"/>
          <w:szCs w:val="30"/>
        </w:rPr>
        <w:t xml:space="preserve">Proyecto ETL: Integración de Datos de Contratación Pública y Entidades de Control para la Fiscalía General de la Nación</w:t>
      </w:r>
    </w:p>
    <w:p>
      <w:pPr>
        <w:spacing w:after="600"/>
        <w:jc w:val="center"/>
      </w:pPr>
      <w:r>
        <w:rPr>
          <w:rFonts w:ascii="Arial" w:cs="Arial" w:eastAsia="Arial" w:hAnsi="Arial"/>
          <w:color w:val="000000"/>
          <w:sz w:val="24"/>
          <w:szCs w:val="24"/>
        </w:rPr>
        <w:t xml:space="preserve">Documento de estudio – Avance 1 y Corte 2 (Extracción y Transformación)</w:t>
      </w:r>
    </w:p>
    <w:p>
      <w:pPr>
        <w:spacing w:after="60"/>
        <w:jc w:val="center"/>
      </w:pPr>
      <w:r>
        <w:rPr>
          <w:rFonts w:ascii="Arial" w:cs="Arial" w:eastAsia="Arial" w:hAnsi="Arial"/>
          <w:b/>
          <w:bCs/>
          <w:color w:val="000000"/>
          <w:sz w:val="22"/>
          <w:szCs w:val="22"/>
        </w:rPr>
        <w:t xml:space="preserve">Integrantes:</w:t>
      </w:r>
    </w:p>
    <w:p>
      <w:pPr>
        <w:spacing w:after="60"/>
        <w:jc w:val="center"/>
      </w:pPr>
      <w:r>
        <w:rPr>
          <w:rFonts w:ascii="Arial" w:cs="Arial" w:eastAsia="Arial" w:hAnsi="Arial"/>
          <w:b w:val="false"/>
          <w:bCs w:val="false"/>
          <w:color w:val="000000"/>
          <w:sz w:val="22"/>
          <w:szCs w:val="22"/>
        </w:rPr>
        <w:t xml:space="preserve">Diego Fernando Arenas Lasso</w:t>
      </w:r>
    </w:p>
    <w:p>
      <w:pPr>
        <w:spacing w:after="60"/>
        <w:jc w:val="center"/>
      </w:pPr>
      <w:r>
        <w:rPr>
          <w:rFonts w:ascii="Arial" w:cs="Arial" w:eastAsia="Arial" w:hAnsi="Arial"/>
          <w:b w:val="false"/>
          <w:bCs w:val="false"/>
          <w:color w:val="000000"/>
          <w:sz w:val="22"/>
          <w:szCs w:val="22"/>
        </w:rPr>
        <w:t xml:space="preserve">Miguel Angel Herrera Santanilla</w:t>
      </w:r>
    </w:p>
    <w:p>
      <w:pPr>
        <w:spacing w:after="60"/>
        <w:jc w:val="center"/>
      </w:pPr>
      <w:r>
        <w:rPr>
          <w:rFonts w:ascii="Arial" w:cs="Arial" w:eastAsia="Arial" w:hAnsi="Arial"/>
          <w:b w:val="false"/>
          <w:bCs w:val="false"/>
          <w:color w:val="000000"/>
          <w:sz w:val="22"/>
          <w:szCs w:val="22"/>
        </w:rPr>
        <w:t xml:space="preserve">Nayda Liseth Sierra Jaramillo</w:t>
      </w:r>
    </w:p>
    <w:p>
      <w:pPr>
        <w:spacing w:after="60"/>
        <w:jc w:val="center"/>
      </w:pPr>
      <w:r>
        <w:rPr>
          <w:rFonts w:ascii="Arial" w:cs="Arial" w:eastAsia="Arial" w:hAnsi="Arial"/>
          <w:b w:val="false"/>
          <w:bCs w:val="false"/>
          <w:color w:val="000000"/>
          <w:sz w:val="22"/>
          <w:szCs w:val="22"/>
        </w:rPr>
        <w:t xml:space="preserve">Kevin Ospina Gamboa</w:t>
      </w:r>
    </w:p>
    <w:p>
      <w:pPr>
        <w:spacing w:after="60"/>
        <w:jc w:val="center"/>
      </w:pPr>
      <w:r>
        <w:rPr>
          <w:rFonts w:ascii="Arial" w:cs="Arial" w:eastAsia="Arial" w:hAnsi="Arial"/>
          <w:b w:val="false"/>
          <w:bCs w:val="false"/>
          <w:color w:val="000000"/>
          <w:sz w:val="22"/>
          <w:szCs w:val="22"/>
        </w:rPr>
        <w:t xml:space="preserve">Santiago Navia Soto</w:t>
      </w:r>
    </w:p>
    <w:p>
      <w:pPr>
        <w:spacing w:before="600"/>
        <w:jc w:val="center"/>
      </w:pPr>
      <w:r>
        <w:rPr>
          <w:rFonts w:ascii="Arial" w:cs="Arial" w:eastAsia="Arial" w:hAnsi="Arial"/>
          <w:color w:val="000000"/>
          <w:sz w:val="22"/>
          <w:szCs w:val="22"/>
        </w:rPr>
        <w:t xml:space="preserve">Santiago de Cali, 2026</w:t>
      </w:r>
    </w:p>
    <w:p>
      <w:r>
        <w:br w:type="page"/>
      </w:r>
    </w:p>
    <w:p>
      <w:pPr>
        <w:pStyle w:val="Heading1"/>
        <w:spacing w:after="160" w:before="320"/>
      </w:pPr>
      <w:r>
        <w:rPr>
          <w:rFonts w:ascii="Arial" w:cs="Arial" w:eastAsia="Arial" w:hAnsi="Arial"/>
          <w:b/>
          <w:bCs/>
          <w:color w:val="000000"/>
          <w:sz w:val="28"/>
          <w:szCs w:val="28"/>
        </w:rPr>
        <w:t xml:space="preserve">1. Relación entre el Avance 1 y el Corte 2</w:t>
      </w:r>
    </w:p>
    <w:p>
      <w:pPr>
        <w:spacing w:after="120" w:line="276"/>
        <w:jc w:val="both"/>
      </w:pPr>
      <w:r>
        <w:rPr>
          <w:rFonts w:ascii="Arial" w:cs="Arial" w:eastAsia="Arial" w:hAnsi="Arial"/>
          <w:color w:val="000000"/>
          <w:sz w:val="22"/>
          <w:szCs w:val="22"/>
        </w:rPr>
        <w:t xml:space="preserve">El Avance 1 definió el problema del proyecto: la desarticulación de la información entre las entidades de control del Estado (Contraloría, Procuraduría, Fiscalía y Policía) cuando se investigan delitos contra la administración pública tipificados en el Título XV de la Ley 599 de 2000. Allí se planteó el contexto, la caracterización de la usuaria (Luz, funcionaria del área jurídica de la Fiscalía), el árbol de problemas, las fuentes de datos preliminares, los OKR y KPIs y las preguntas estratégicas.</w:t>
      </w:r>
    </w:p>
    <w:p>
      <w:pPr>
        <w:spacing w:after="120" w:line="276"/>
        <w:jc w:val="both"/>
      </w:pPr>
      <w:r>
        <w:rPr>
          <w:rFonts w:ascii="Arial" w:cs="Arial" w:eastAsia="Arial" w:hAnsi="Arial"/>
          <w:color w:val="000000"/>
          <w:sz w:val="22"/>
          <w:szCs w:val="22"/>
        </w:rPr>
        <w:t xml:space="preserve">El Corte 2 es la primera implementación técnica de esa propuesta. Construimos un pipeline ETL modular que extrae procesos de contratación pública desde la API de datos abiertos de SECOP II, los limpia y genera un resumen por entidad usando la arquitectura Medallón (Bronze, Silver y Gold). Con esto atacamos directamente la causa tecnológica del árbol de problemas (silos de datos sin canal de interoperabilidad) y dejamos la base para cruzar, en una fase posterior, la información de las demás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Elemento del Avance 1</w:t>
            </w:r>
          </w:p>
        </w:tc>
        <w:tc>
          <w:tcPr>
            <w:tcW w:type="dxa" w:w="5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Cómo lo aborda el Corte 2</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Problema central: desarticulación en el intercambio de información</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Un pipeline que centraliza y estandariza datos públicos de contratación en un solo punto.</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Causa tecnológica: silos de datos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Extracción automática por API REST, sin descargas manuales.</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Causa de proceso: trámites manuales de semanas o meses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El pipeline completo se ejecuta con un comando y en menos de un segundo.</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Causa de estandarización: sin identificadores comunes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 conservan llaves de cruce (NIT de la entidad, NIT del proveedor, ID del proceso) y se estandarizan nombres de columnas.</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Usuaria: Luz, área jurídica de la Fiscalía</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Recibe en la capa Gold un resumen de procesos por entidad listo para priorizar revisiones.</w:t>
            </w:r>
          </w:p>
        </w:tc>
      </w:tr>
    </w:tbl>
    <w:p>
      <w:pPr>
        <w:pStyle w:val="Heading1"/>
        <w:spacing w:after="160" w:before="320"/>
      </w:pPr>
      <w:r>
        <w:rPr>
          <w:rFonts w:ascii="Arial" w:cs="Arial" w:eastAsia="Arial" w:hAnsi="Arial"/>
          <w:b/>
          <w:bCs/>
          <w:color w:val="000000"/>
          <w:sz w:val="28"/>
          <w:szCs w:val="28"/>
        </w:rPr>
        <w:t xml:space="preserve">2. Solución y objetivos del proyecto</w:t>
      </w:r>
    </w:p>
    <w:p>
      <w:pPr>
        <w:pStyle w:val="Heading2"/>
        <w:spacing w:after="120" w:before="220"/>
      </w:pPr>
      <w:r>
        <w:rPr>
          <w:rFonts w:ascii="Arial" w:cs="Arial" w:eastAsia="Arial" w:hAnsi="Arial"/>
          <w:b/>
          <w:bCs/>
          <w:color w:val="000000"/>
          <w:sz w:val="24"/>
          <w:szCs w:val="24"/>
        </w:rPr>
        <w:t xml:space="preserve">2.1 Problema que resuelve</w:t>
      </w:r>
    </w:p>
    <w:p>
      <w:pPr>
        <w:spacing w:after="120" w:line="276"/>
        <w:jc w:val="both"/>
      </w:pPr>
      <w:r>
        <w:rPr>
          <w:rFonts w:ascii="Arial" w:cs="Arial" w:eastAsia="Arial" w:hAnsi="Arial"/>
          <w:color w:val="000000"/>
          <w:sz w:val="22"/>
          <w:szCs w:val="22"/>
        </w:rPr>
        <w:t xml:space="preserve">La información que necesita un investigador de delitos contra la administración pública (peculado, celebración indebida de contratos, cohecho) está dispersa en varias plataformas que no se comunican entre sí: SECOP, portales de datos abiertos y los sistemas propios de cada entidad de control. Para cruzar un contrato con la entidad que lo firmó, su modalidad y su estado, el funcionario tiene que consultar fuentes por separado y consolidar a mano.</w:t>
      </w:r>
    </w:p>
    <w:p>
      <w:pPr>
        <w:spacing w:after="120" w:line="276"/>
        <w:jc w:val="both"/>
      </w:pPr>
      <w:r>
        <w:rPr>
          <w:rFonts w:ascii="Arial" w:cs="Arial" w:eastAsia="Arial" w:hAnsi="Arial"/>
          <w:color w:val="000000"/>
          <w:sz w:val="22"/>
          <w:szCs w:val="22"/>
        </w:rPr>
        <w:t xml:space="preserve">El pipeline automatiza esa consolidación: extrae los procesos de contratación publicados en datos.gov.co, los limpia y los resume en indicadores por entidad, en tres capas separadas.</w:t>
      </w:r>
    </w:p>
    <w:p>
      <w:pPr>
        <w:pStyle w:val="Heading2"/>
        <w:spacing w:after="120" w:before="220"/>
      </w:pPr>
      <w:r>
        <w:rPr>
          <w:rFonts w:ascii="Arial" w:cs="Arial" w:eastAsia="Arial" w:hAnsi="Arial"/>
          <w:b/>
          <w:bCs/>
          <w:color w:val="000000"/>
          <w:sz w:val="24"/>
          <w:szCs w:val="24"/>
        </w:rPr>
        <w:t xml:space="preserve">2.2 Qué demuestra el proyecto</w:t>
      </w:r>
    </w:p>
    <w:p>
      <w:pPr>
        <w:pStyle w:val="ListParagraph"/>
        <w:numPr>
          <w:ilvl w:val="0"/>
          <w:numId w:val="2"/>
        </w:numPr>
        <w:spacing w:after="80"/>
      </w:pPr>
      <w:r>
        <w:rPr>
          <w:rFonts w:ascii="Arial" w:cs="Arial" w:eastAsia="Arial" w:hAnsi="Arial"/>
          <w:color w:val="000000"/>
          <w:sz w:val="22"/>
          <w:szCs w:val="22"/>
        </w:rPr>
        <w:t xml:space="preserve">Es posible extraer datos públicos de contratación de forma automática desde una API REST.</w:t>
      </w:r>
    </w:p>
    <w:p>
      <w:pPr>
        <w:pStyle w:val="ListParagraph"/>
        <w:numPr>
          <w:ilvl w:val="0"/>
          <w:numId w:val="2"/>
        </w:numPr>
        <w:spacing w:after="80"/>
      </w:pPr>
      <w:r>
        <w:rPr>
          <w:rFonts w:ascii="Arial" w:cs="Arial" w:eastAsia="Arial" w:hAnsi="Arial"/>
          <w:color w:val="000000"/>
          <w:sz w:val="22"/>
          <w:szCs w:val="22"/>
        </w:rPr>
        <w:t xml:space="preserve">Los datos crudos traen problemas reales de calidad (duplicados, campos vacíos, tipos de dato incorrectos) que hay que resolver antes de analizarlos.</w:t>
      </w:r>
    </w:p>
    <w:p>
      <w:pPr>
        <w:pStyle w:val="ListParagraph"/>
        <w:numPr>
          <w:ilvl w:val="0"/>
          <w:numId w:val="2"/>
        </w:numPr>
        <w:spacing w:after="80"/>
      </w:pPr>
      <w:r>
        <w:rPr>
          <w:rFonts w:ascii="Arial" w:cs="Arial" w:eastAsia="Arial" w:hAnsi="Arial"/>
          <w:color w:val="000000"/>
          <w:sz w:val="22"/>
          <w:szCs w:val="22"/>
        </w:rPr>
        <w:t xml:space="preserve">La arquitectura Medallón conserva el dato original intacto, genera una versión limpia y produce un resumen listo para decidir.</w:t>
      </w:r>
    </w:p>
    <w:p>
      <w:pPr>
        <w:pStyle w:val="ListParagraph"/>
        <w:numPr>
          <w:ilvl w:val="0"/>
          <w:numId w:val="2"/>
        </w:numPr>
        <w:spacing w:after="80"/>
      </w:pPr>
      <w:r>
        <w:rPr>
          <w:rFonts w:ascii="Arial" w:cs="Arial" w:eastAsia="Arial" w:hAnsi="Arial"/>
          <w:color w:val="000000"/>
          <w:sz w:val="22"/>
          <w:szCs w:val="22"/>
        </w:rPr>
        <w:t xml:space="preserve">El proceso completo se ejecuta con un solo comando y deja un registro de auditoría.</w:t>
      </w:r>
    </w:p>
    <w:p>
      <w:pPr>
        <w:pStyle w:val="Heading2"/>
        <w:spacing w:after="120" w:before="220"/>
      </w:pPr>
      <w:r>
        <w:rPr>
          <w:rFonts w:ascii="Arial" w:cs="Arial" w:eastAsia="Arial" w:hAnsi="Arial"/>
          <w:b/>
          <w:bCs/>
          <w:color w:val="000000"/>
          <w:sz w:val="24"/>
          <w:szCs w:val="24"/>
        </w:rPr>
        <w:t xml:space="preserve">2.3 Utilidad para la investigación</w:t>
      </w:r>
    </w:p>
    <w:p>
      <w:pPr>
        <w:pStyle w:val="ListParagraph"/>
        <w:numPr>
          <w:ilvl w:val="0"/>
          <w:numId w:val="2"/>
        </w:numPr>
        <w:spacing w:after="80"/>
      </w:pPr>
      <w:r>
        <w:rPr>
          <w:rFonts w:ascii="Arial" w:cs="Arial" w:eastAsia="Arial" w:hAnsi="Arial"/>
          <w:color w:val="000000"/>
          <w:sz w:val="22"/>
          <w:szCs w:val="22"/>
        </w:rPr>
        <w:t xml:space="preserve">Permite ver rápidamente qué entidades concentran más procesos de contratación.</w:t>
      </w:r>
    </w:p>
    <w:p>
      <w:pPr>
        <w:pStyle w:val="ListParagraph"/>
        <w:numPr>
          <w:ilvl w:val="0"/>
          <w:numId w:val="2"/>
        </w:numPr>
        <w:spacing w:after="80"/>
      </w:pPr>
      <w:r>
        <w:rPr>
          <w:rFonts w:ascii="Arial" w:cs="Arial" w:eastAsia="Arial" w:hAnsi="Arial"/>
          <w:color w:val="000000"/>
          <w:sz w:val="22"/>
          <w:szCs w:val="22"/>
        </w:rPr>
        <w:t xml:space="preserve">Deja a la vista patrones que merecen revisión: en la muestra, el 80 % de los procesos se hizo por contratación directa o régimen especial, es decir, sin competencia abierta.</w:t>
      </w:r>
    </w:p>
    <w:p>
      <w:pPr>
        <w:pStyle w:val="ListParagraph"/>
        <w:numPr>
          <w:ilvl w:val="0"/>
          <w:numId w:val="2"/>
        </w:numPr>
        <w:spacing w:after="80"/>
      </w:pPr>
      <w:r>
        <w:rPr>
          <w:rFonts w:ascii="Arial" w:cs="Arial" w:eastAsia="Arial" w:hAnsi="Arial"/>
          <w:color w:val="000000"/>
          <w:sz w:val="22"/>
          <w:szCs w:val="22"/>
        </w:rPr>
        <w:t xml:space="preserve">Al tener los datos limpios y estandarizados, se pueden cruzar después con sanciones de la Procuraduría o fallos de la Contraloría usando el NIT de la entidad, el NIT del proveedor o el ID del proceso.</w:t>
      </w:r>
    </w:p>
    <w:p>
      <w:r>
        <w:br w:type="page"/>
      </w:r>
    </w:p>
    <w:p>
      <w:pPr>
        <w:pStyle w:val="Heading1"/>
        <w:spacing w:after="160" w:before="320"/>
      </w:pPr>
      <w:r>
        <w:rPr>
          <w:rFonts w:ascii="Arial" w:cs="Arial" w:eastAsia="Arial" w:hAnsi="Arial"/>
          <w:b/>
          <w:bCs/>
          <w:color w:val="000000"/>
          <w:sz w:val="28"/>
          <w:szCs w:val="28"/>
        </w:rPr>
        <w:t xml:space="preserve">3. Análisis exploratorio de datos (notebooks/analisis_exploratorio.ipynb)</w:t>
      </w:r>
    </w:p>
    <w:p>
      <w:pPr>
        <w:pStyle w:val="Heading2"/>
        <w:spacing w:after="120" w:before="220"/>
      </w:pPr>
      <w:r>
        <w:rPr>
          <w:rFonts w:ascii="Arial" w:cs="Arial" w:eastAsia="Arial" w:hAnsi="Arial"/>
          <w:b/>
          <w:bCs/>
          <w:color w:val="000000"/>
          <w:sz w:val="24"/>
          <w:szCs w:val="24"/>
        </w:rPr>
        <w:t xml:space="preserve">3.1 Origen de los datos</w:t>
      </w:r>
    </w:p>
    <w:p>
      <w:pPr>
        <w:spacing w:after="120" w:line="276"/>
        <w:jc w:val="both"/>
      </w:pPr>
      <w:r>
        <w:rPr>
          <w:rFonts w:ascii="Arial" w:cs="Arial" w:eastAsia="Arial" w:hAnsi="Arial"/>
          <w:color w:val="000000"/>
          <w:sz w:val="22"/>
          <w:szCs w:val="22"/>
        </w:rPr>
        <w:t xml:space="preserve">La fuente es el conjunto de datos p6dx-8zbt de datos.gov.co, correspondiente a los procesos de contratación de SECOP II. La API devuelve la información en formato JSON y se convierte a DataFrame con pandas. La URL incluye el parámetro $limit=100, por lo que se trabaja con una muestra de 100 procesos y no con el conjunto completo.</w:t>
      </w:r>
    </w:p>
    <w:p>
      <w:pPr>
        <w:pStyle w:val="Heading2"/>
        <w:spacing w:after="120" w:before="220"/>
      </w:pPr>
      <w:r>
        <w:rPr>
          <w:rFonts w:ascii="Arial" w:cs="Arial" w:eastAsia="Arial" w:hAnsi="Arial"/>
          <w:b/>
          <w:bCs/>
          <w:color w:val="000000"/>
          <w:sz w:val="24"/>
          <w:szCs w:val="24"/>
        </w:rPr>
        <w:t xml:space="preserve">3.2 Qué significa cada fila y cuánto manejamos</w:t>
      </w:r>
    </w:p>
    <w:p>
      <w:pPr>
        <w:pStyle w:val="ListParagraph"/>
        <w:numPr>
          <w:ilvl w:val="0"/>
          <w:numId w:val="2"/>
        </w:numPr>
        <w:spacing w:after="80"/>
      </w:pPr>
      <w:r>
        <w:rPr>
          <w:rFonts w:ascii="Arial" w:cs="Arial" w:eastAsia="Arial" w:hAnsi="Arial"/>
          <w:color w:val="000000"/>
          <w:sz w:val="22"/>
          <w:szCs w:val="22"/>
        </w:rPr>
        <w:t xml:space="preserve">Cada fila es un proceso de contratación publicado por una entidad pública.</w:t>
      </w:r>
    </w:p>
    <w:p>
      <w:pPr>
        <w:pStyle w:val="ListParagraph"/>
        <w:numPr>
          <w:ilvl w:val="0"/>
          <w:numId w:val="2"/>
        </w:numPr>
        <w:spacing w:after="80"/>
      </w:pPr>
      <w:r>
        <w:rPr>
          <w:rFonts w:ascii="Arial" w:cs="Arial" w:eastAsia="Arial" w:hAnsi="Arial"/>
          <w:color w:val="000000"/>
          <w:sz w:val="22"/>
          <w:szCs w:val="22"/>
        </w:rPr>
        <w:t xml:space="preserve">La capa Bronze tiene </w:t>
      </w:r>
      <w:r>
        <w:rPr>
          <w:rFonts w:ascii="Arial" w:cs="Arial" w:eastAsia="Arial" w:hAnsi="Arial"/>
          <w:b/>
          <w:bCs/>
          <w:color w:val="000000"/>
          <w:sz w:val="22"/>
          <w:szCs w:val="22"/>
        </w:rPr>
        <w:t xml:space="preserve">100 filas y 56 columnas</w:t>
      </w:r>
      <w:r>
        <w:rPr>
          <w:rFonts w:ascii="Arial" w:cs="Arial" w:eastAsia="Arial" w:hAnsi="Arial"/>
          <w:color w:val="000000"/>
          <w:sz w:val="22"/>
          <w:szCs w:val="22"/>
        </w:rPr>
        <w:t xml:space="preserve">: 40 de texto y 16 numéricas.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60"/>
        <w:gridCol w:w="280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Bloque</w:t>
            </w:r>
          </w:p>
        </w:tc>
        <w:tc>
          <w:tcPr>
            <w:tcW w:type="dxa" w:w="4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Columnas de ejemplo</w:t>
            </w:r>
          </w:p>
        </w:tc>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Qué describe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Entidad</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entidad, nit_entidad, departamento_entidad, ciudad_entidad, ordenentidad</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Quién contrata</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Proceso</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id_del_proceso, referencia_del_proceso, nombre_del_procedimiento, fase, estado_del_procedimiento</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Qué se contrata y en qué etapa va</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Económicas</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precio_base, valor_total_adjudicacion, duracion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Cuánto vale y cuánto dura</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Participación</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proveedores_invitados, respuestas_al_procedimiento, proveedores_unicos_con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Cuánta competencia hubo</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Adjudicación y fechas</w:t>
            </w:r>
          </w:p>
        </w:tc>
        <w:tc>
          <w:tcPr>
            <w:tcW w:type="dxa" w:w="4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adjudicado, nombre_del_proveedor, nit_del_proveedor_adjudicado, fecha_adjudicacion</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 quién se adjudicó y cuándo</w:t>
            </w:r>
          </w:p>
        </w:tc>
      </w:tr>
    </w:tbl>
    <w:p>
      <w:pPr>
        <w:pStyle w:val="Heading2"/>
        <w:spacing w:after="120" w:before="220"/>
      </w:pPr>
      <w:r>
        <w:rPr>
          <w:rFonts w:ascii="Arial" w:cs="Arial" w:eastAsia="Arial" w:hAnsi="Arial"/>
          <w:b/>
          <w:bCs/>
          <w:color w:val="000000"/>
          <w:sz w:val="24"/>
          <w:szCs w:val="24"/>
        </w:rPr>
        <w:t xml:space="preserve">3.3 Valores nulos</w:t>
      </w:r>
    </w:p>
    <w:p>
      <w:pPr>
        <w:spacing w:after="120" w:line="276"/>
        <w:jc w:val="both"/>
      </w:pPr>
      <w:r>
        <w:rPr>
          <w:rFonts w:ascii="Arial" w:cs="Arial" w:eastAsia="Arial" w:hAnsi="Arial"/>
          <w:color w:val="000000"/>
          <w:sz w:val="22"/>
          <w:szCs w:val="22"/>
        </w:rPr>
        <w:t xml:space="preserve">Solo 6 de las 56 columnas tienen vacíos y todas son fechas: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Columna</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Nulos</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Porcentaje</w:t>
            </w:r>
          </w:p>
        </w:tc>
      </w:tr>
      <w:tr>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fecha_de_publicacion_fase_2</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96 %</w:t>
            </w:r>
          </w:p>
        </w:tc>
      </w:tr>
      <w:tr>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fecha_adjudicacion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94 %</w:t>
            </w:r>
          </w:p>
        </w:tc>
      </w:tr>
      <w:tr>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fecha_de_apertura_efectiva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86 %</w:t>
            </w:r>
          </w:p>
        </w:tc>
      </w:tr>
      <w:tr>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fecha_de_apertura_de_respuesta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83 %</w:t>
            </w:r>
          </w:p>
        </w:tc>
      </w:tr>
      <w:tr>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fecha_de_recepcion_de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80 %</w:t>
            </w:r>
          </w:p>
        </w:tc>
      </w:tr>
      <w:tr>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fecha_de_publicacion_fase_3</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4 %</w:t>
            </w:r>
          </w:p>
        </w:tc>
      </w:tr>
    </w:tbl>
    <w:p>
      <w:pPr>
        <w:spacing w:after="60"/>
      </w:pPr>
    </w:p>
    <w:p>
      <w:pPr>
        <w:spacing w:after="120" w:line="276"/>
        <w:jc w:val="both"/>
      </w:pPr>
      <w:r>
        <w:rPr>
          <w:rFonts w:ascii="Arial" w:cs="Arial" w:eastAsia="Arial" w:hAnsi="Arial"/>
          <w:color w:val="000000"/>
          <w:sz w:val="22"/>
          <w:szCs w:val="22"/>
        </w:rPr>
        <w:t xml:space="preserve">Estos vacíos son normales por el funcionamiento del proceso, no un error de calidad. Una fecha de adjudicación solo existe si el proceso ya fue adjudicado, y en la muestra solo 7 de 100 procesos lo están. La mayoría de procesos sigue en la etapa "Presentación de oferta" (88 de 100). Por eso no se deben rellenar con valores inventados.</w:t>
      </w:r>
    </w:p>
    <w:p>
      <w:pPr>
        <w:pStyle w:val="Heading2"/>
        <w:spacing w:after="120" w:before="220"/>
      </w:pPr>
      <w:r>
        <w:rPr>
          <w:rFonts w:ascii="Arial" w:cs="Arial" w:eastAsia="Arial" w:hAnsi="Arial"/>
          <w:b/>
          <w:bCs/>
          <w:color w:val="000000"/>
          <w:sz w:val="24"/>
          <w:szCs w:val="24"/>
        </w:rPr>
        <w:t xml:space="preserve">3.4 Métricas principales</w:t>
      </w:r>
    </w:p>
    <w:p>
      <w:pPr>
        <w:spacing w:after="120" w:line="276"/>
        <w:jc w:val="both"/>
      </w:pPr>
      <w:r>
        <w:rPr>
          <w:rFonts w:ascii="Arial" w:cs="Arial" w:eastAsia="Arial" w:hAnsi="Arial"/>
          <w:b/>
          <w:bCs/>
          <w:color w:val="000000"/>
          <w:sz w:val="22"/>
          <w:szCs w:val="22"/>
        </w:rPr>
        <w:t xml:space="preserve">Entidades.</w:t>
      </w:r>
      <w:r>
        <w:rPr>
          <w:rFonts w:ascii="Arial" w:cs="Arial" w:eastAsia="Arial" w:hAnsi="Arial"/>
          <w:color w:val="000000"/>
          <w:sz w:val="22"/>
          <w:szCs w:val="22"/>
        </w:rPr>
        <w:t xml:space="preserve"> Hay 88 entidades distintas en 100 procesos. 67 procesos son de entidades territoriales y 33 de entidades nacionales. Bogotá D.C. concentra 31 procesos, seguida de Cundinamarca (13) y Antioquia (12).</w:t>
      </w:r>
    </w:p>
    <w:p>
      <w:pPr>
        <w:spacing w:after="120" w:line="276"/>
        <w:jc w:val="both"/>
      </w:pPr>
      <w:r>
        <w:rPr>
          <w:rFonts w:ascii="Arial" w:cs="Arial" w:eastAsia="Arial" w:hAnsi="Arial"/>
          <w:b/>
          <w:bCs/>
          <w:color w:val="000000"/>
          <w:sz w:val="22"/>
          <w:szCs w:val="22"/>
        </w:rPr>
        <w:t xml:space="preserve">Hallazgo sobre duplicados.</w:t>
      </w:r>
      <w:r>
        <w:rPr>
          <w:rFonts w:ascii="Arial" w:cs="Arial" w:eastAsia="Arial" w:hAnsi="Arial"/>
          <w:color w:val="000000"/>
          <w:sz w:val="22"/>
          <w:szCs w:val="22"/>
        </w:rPr>
        <w:t xml:space="preserve"> El describe() del notebook muestra como entidad más frecuente a la Alcaldía Municipio de Ricaurte, con 4 procesos. Esas 4 filas son el mismo proceso (CO1.REQ.3469058) repetido cuatro veces. El dato crudo exageraba la importancia de esa entidad. Después de la limpieza queda con 1 proceso y la entidad con más procesos pasa a ser el Banco de la República, con 3. Es el mejor ejemplo para explicar por qué se limpia antes de analizar.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Variable</w:t>
            </w:r>
          </w:p>
        </w:tc>
        <w:tc>
          <w:tcPr>
            <w:tcW w:type="dxa" w:w="64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Resultado en la muestra</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Modalidad de contratación</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Directa 49, régimen especial 31, mínima cuantía 7, subasta inversa 4, licitación pública 2</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Tipo de contrato</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Prestación de servicios 62 de 100</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Proveedores invitados</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Mediana de 0, poca competencia en la mayoría de procesos</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precio_base</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Mediana 17,8 millones; promedio 664 millones; máximo 53.520 millones; hay valores en 0</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valor_total_adjudicacion</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93 registros en 0 porque no se han adjudicado</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Estado del procedimiento</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Seleccionado 61, Publicado 23, Evaluación 10, Cancelado 5, Abierto 1</w:t>
            </w:r>
          </w:p>
        </w:tc>
      </w:tr>
      <w:t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Tipos de dato</w:t>
            </w:r>
          </w:p>
        </w:tc>
        <w:tc>
          <w:tcPr>
            <w:tcW w:type="dxa" w:w="64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Las fechas quedaron como texto, no como fecha</w:t>
            </w:r>
          </w:p>
        </w:tc>
      </w:tr>
    </w:tbl>
    <w:p>
      <w:pPr>
        <w:spacing w:after="60"/>
      </w:pPr>
    </w:p>
    <w:p>
      <w:pPr>
        <w:spacing w:after="120" w:line="276"/>
        <w:jc w:val="both"/>
      </w:pPr>
      <w:r>
        <w:rPr>
          <w:rFonts w:ascii="Arial" w:cs="Arial" w:eastAsia="Arial" w:hAnsi="Arial"/>
          <w:color w:val="000000"/>
          <w:sz w:val="22"/>
          <w:szCs w:val="22"/>
        </w:rPr>
        <w:t xml:space="preserve">En precio_base el promedio está inflado por unos pocos contratos muy grandes, así que la mediana describe mejor el contrato típico. El promedio de valor_total_adjudicacion no representa nada útil mientras no se filtren solo los procesos adjudicados.</w:t>
      </w:r>
    </w:p>
    <w:p>
      <w:pPr>
        <w:pStyle w:val="Heading2"/>
        <w:spacing w:after="120" w:before="220"/>
      </w:pPr>
      <w:r>
        <w:rPr>
          <w:rFonts w:ascii="Arial" w:cs="Arial" w:eastAsia="Arial" w:hAnsi="Arial"/>
          <w:b/>
          <w:bCs/>
          <w:color w:val="000000"/>
          <w:sz w:val="24"/>
          <w:szCs w:val="24"/>
        </w:rPr>
        <w:t xml:space="preserve">3.5 Para qué sirve este análisis antes de transformar</w:t>
      </w:r>
    </w:p>
    <w:p>
      <w:pPr>
        <w:spacing w:after="120" w:line="276"/>
        <w:jc w:val="both"/>
      </w:pPr>
      <w:r>
        <w:rPr>
          <w:rFonts w:ascii="Arial" w:cs="Arial" w:eastAsia="Arial" w:hAnsi="Arial"/>
          <w:color w:val="000000"/>
          <w:sz w:val="22"/>
          <w:szCs w:val="22"/>
        </w:rPr>
        <w:t xml:space="preserve">El EDA sirve para decidir qué limpiar y qué no tocar. Gracias a él sabemos que hay duplicados reales que se deben eliminar, que los nulos de fechas son esperados y no se deben imputar, que los montos tienen valores extremos que distorsionan el promedio y que las fechas necesitan conversión de tipo.</w:t>
      </w:r>
    </w:p>
    <w:p>
      <w:r>
        <w:br w:type="page"/>
      </w:r>
    </w:p>
    <w:p>
      <w:pPr>
        <w:pStyle w:val="Heading1"/>
        <w:spacing w:after="160" w:before="320"/>
      </w:pPr>
      <w:r>
        <w:rPr>
          <w:rFonts w:ascii="Arial" w:cs="Arial" w:eastAsia="Arial" w:hAnsi="Arial"/>
          <w:b/>
          <w:bCs/>
          <w:color w:val="000000"/>
          <w:sz w:val="28"/>
          <w:szCs w:val="28"/>
        </w:rPr>
        <w:t xml:space="preserve">4. Estructura y funcionamiento del código</w:t>
      </w:r>
    </w:p>
    <w:p>
      <w:pPr>
        <w:pStyle w:val="Heading2"/>
        <w:spacing w:after="120" w:before="220"/>
      </w:pPr>
      <w:r>
        <w:rPr>
          <w:rFonts w:ascii="Arial" w:cs="Arial" w:eastAsia="Arial" w:hAnsi="Arial"/>
          <w:b/>
          <w:bCs/>
          <w:color w:val="000000"/>
          <w:sz w:val="24"/>
          <w:szCs w:val="24"/>
        </w:rPr>
        <w:t xml:space="preserve">4.1 README</w:t>
      </w:r>
    </w:p>
    <w:p>
      <w:pPr>
        <w:spacing w:after="120" w:line="276"/>
        <w:jc w:val="both"/>
      </w:pPr>
      <w:r>
        <w:rPr>
          <w:rFonts w:ascii="Arial" w:cs="Arial" w:eastAsia="Arial" w:hAnsi="Arial"/>
          <w:color w:val="000000"/>
          <w:sz w:val="22"/>
          <w:szCs w:val="22"/>
        </w:rPr>
        <w:t xml:space="preserve">El README es la documentación principal. Explica el problema y su justificación, la arquitectura Medallón, el árbol de carpetas, el papel de la carpeta logs, las librerías usadas y los pasos de ejecución: crear el entorno virtual, activarlo, instalar dependencias con pip install -r requirements.txt y correr python main.py.</w:t>
      </w:r>
    </w:p>
    <w:p>
      <w:pPr>
        <w:pStyle w:val="Heading2"/>
        <w:spacing w:after="120" w:before="220"/>
      </w:pPr>
      <w:r>
        <w:rPr>
          <w:rFonts w:ascii="Arial" w:cs="Arial" w:eastAsia="Arial" w:hAnsi="Arial"/>
          <w:b/>
          <w:bCs/>
          <w:color w:val="000000"/>
          <w:sz w:val="24"/>
          <w:szCs w:val="24"/>
        </w:rPr>
        <w:t xml:space="preserve">4.2 Arquitectura Medallón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700"/>
        <w:gridCol w:w="3160"/>
        <w:gridCol w:w="13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Capa</w:t>
            </w:r>
          </w:p>
        </w:tc>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Archivo</w:t>
            </w:r>
          </w:p>
        </w:tc>
        <w:tc>
          <w:tcPr>
            <w:tcW w:type="dxa" w:w="3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Contenido</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Tamaño</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Bronze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data/bronze/contratos_fiscalia_raw.csv</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Datos tal como llegan de la API</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100 × 56</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Silver</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data/silver/contratos_fiscalia_clean.csv</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Datos sin duplicados ni filas vacías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97 × 56</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Gold</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data/gold/resumen_contratos_gold.csv</w:t>
            </w:r>
          </w:p>
        </w:tc>
        <w:tc>
          <w:tcPr>
            <w:tcW w:type="dxa" w:w="31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Total de procesos por entidad, ordenado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88 × 2</w:t>
            </w:r>
          </w:p>
        </w:tc>
      </w:tr>
    </w:tbl>
    <w:p>
      <w:pPr>
        <w:pStyle w:val="Heading2"/>
        <w:spacing w:after="120" w:before="220"/>
      </w:pPr>
      <w:r>
        <w:rPr>
          <w:rFonts w:ascii="Arial" w:cs="Arial" w:eastAsia="Arial" w:hAnsi="Arial"/>
          <w:b/>
          <w:bCs/>
          <w:color w:val="000000"/>
          <w:sz w:val="24"/>
          <w:szCs w:val="24"/>
        </w:rPr>
        <w:t xml:space="preserve">4.3 Contenido de cada carpeta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Carpeta o archivo</w:t>
            </w:r>
          </w:p>
        </w:tc>
        <w:tc>
          <w:tcPr>
            <w:tcW w:type="dxa" w:w="6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Contenido y función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config/</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config.yaml con nombre del proyecto, autor, rutas de las capas y URL de la API. Busca centralizar parámetros.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data/</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Resultados de cada capa en bronze, silver y gold.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logs/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pipeline.log, registro de auditoría de cada ejecución.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notebooks/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analisis_exploratorio.ipynb, EDA sobre la capa Bronze.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src/extract/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extract_fiscalia_api.py: extracción desde la API.</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src/transform/</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clean_data.py: limpieza y estandarización (Silver).</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src/load/</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load_database.py: agregación y generación de la capa Gold.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tests/</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test_extract.py, test_transform.py y test_quality.py para pruebas unitarias.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__init__.py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Convierten cada carpeta de src en paquete para poder importarlas desde main.py.</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main.py</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Orquestador que ejecuta el pipeline completo.</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requirements.txt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Librerías con versión fija para reproducir el entorno.</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.gitignore</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Excluye de GitHub el entorno virtual, los datos, los logs y las credenciales.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.env</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Variables de entorno confidenciales.</w:t>
            </w:r>
          </w:p>
        </w:tc>
      </w:tr>
    </w:tbl>
    <w:p>
      <w:pPr>
        <w:pStyle w:val="Heading2"/>
        <w:spacing w:after="120" w:before="220"/>
      </w:pPr>
      <w:r>
        <w:rPr>
          <w:rFonts w:ascii="Arial" w:cs="Arial" w:eastAsia="Arial" w:hAnsi="Arial"/>
          <w:b/>
          <w:bCs/>
          <w:color w:val="000000"/>
          <w:sz w:val="24"/>
          <w:szCs w:val="24"/>
        </w:rPr>
        <w:t xml:space="preserve">4.4 Funcionamiento de cada script</w:t>
      </w:r>
    </w:p>
    <w:p>
      <w:pPr>
        <w:spacing w:after="120" w:line="276"/>
        <w:jc w:val="both"/>
      </w:pPr>
      <w:r>
        <w:rPr>
          <w:rFonts w:ascii="Arial" w:cs="Arial" w:eastAsia="Arial" w:hAnsi="Arial"/>
          <w:b/>
          <w:bCs/>
          <w:color w:val="000000"/>
          <w:sz w:val="22"/>
          <w:szCs w:val="22"/>
        </w:rPr>
        <w:t xml:space="preserve">extract_fiscalia_api.py – función extraer_datos_api(url, ruta_salida)</w:t>
      </w:r>
    </w:p>
    <w:p>
      <w:pPr>
        <w:pStyle w:val="ListParagraph"/>
        <w:numPr>
          <w:ilvl w:val="0"/>
          <w:numId w:val="3"/>
        </w:numPr>
        <w:spacing w:after="80"/>
      </w:pPr>
      <w:r>
        <w:rPr>
          <w:rFonts w:ascii="Arial" w:cs="Arial" w:eastAsia="Arial" w:hAnsi="Arial"/>
          <w:color w:val="000000"/>
          <w:sz w:val="22"/>
          <w:szCs w:val="22"/>
        </w:rPr>
        <w:t xml:space="preserve">Hace una petición GET a la API con requests.get(url).</w:t>
      </w:r>
    </w:p>
    <w:p>
      <w:pPr>
        <w:pStyle w:val="ListParagraph"/>
        <w:numPr>
          <w:ilvl w:val="0"/>
          <w:numId w:val="3"/>
        </w:numPr>
        <w:spacing w:after="80"/>
      </w:pPr>
      <w:r>
        <w:rPr>
          <w:rFonts w:ascii="Arial" w:cs="Arial" w:eastAsia="Arial" w:hAnsi="Arial"/>
          <w:color w:val="000000"/>
          <w:sz w:val="22"/>
          <w:szCs w:val="22"/>
        </w:rPr>
        <w:t xml:space="preserve">Revisa el código de estado. Si es 200, convierte el JSON en DataFrame con pd.DataFrame(response.json()).</w:t>
      </w:r>
    </w:p>
    <w:p>
      <w:pPr>
        <w:pStyle w:val="ListParagraph"/>
        <w:numPr>
          <w:ilvl w:val="0"/>
          <w:numId w:val="3"/>
        </w:numPr>
        <w:spacing w:after="80"/>
      </w:pPr>
      <w:r>
        <w:rPr>
          <w:rFonts w:ascii="Arial" w:cs="Arial" w:eastAsia="Arial" w:hAnsi="Arial"/>
          <w:color w:val="000000"/>
          <w:sz w:val="22"/>
          <w:szCs w:val="22"/>
        </w:rPr>
        <w:t xml:space="preserve">Crea la carpeta bronze si no existe (os.makedirs con exist_ok=True).</w:t>
      </w:r>
    </w:p>
    <w:p>
      <w:pPr>
        <w:pStyle w:val="ListParagraph"/>
        <w:numPr>
          <w:ilvl w:val="0"/>
          <w:numId w:val="3"/>
        </w:numPr>
        <w:spacing w:after="80"/>
      </w:pPr>
      <w:r>
        <w:rPr>
          <w:rFonts w:ascii="Arial" w:cs="Arial" w:eastAsia="Arial" w:hAnsi="Arial"/>
          <w:color w:val="000000"/>
          <w:sz w:val="22"/>
          <w:szCs w:val="22"/>
        </w:rPr>
        <w:t xml:space="preserve">Guarda el CSV sin índice y en UTF-8, y devuelve el DataFrame. Si el código no es 200, devuelve None.</w:t>
      </w:r>
    </w:p>
    <w:p>
      <w:pPr>
        <w:spacing w:after="120" w:line="276"/>
        <w:jc w:val="both"/>
      </w:pPr>
      <w:r>
        <w:rPr>
          <w:rFonts w:ascii="Arial" w:cs="Arial" w:eastAsia="Arial" w:hAnsi="Arial"/>
          <w:b/>
          <w:bCs/>
          <w:color w:val="000000"/>
          <w:sz w:val="22"/>
          <w:szCs w:val="22"/>
        </w:rPr>
        <w:t xml:space="preserve">clean_data.py – función transformar_datos(ruta_entrada, ruta_salida)</w:t>
      </w:r>
    </w:p>
    <w:p>
      <w:pPr>
        <w:pStyle w:val="ListParagraph"/>
        <w:numPr>
          <w:ilvl w:val="0"/>
          <w:numId w:val="4"/>
        </w:numPr>
        <w:spacing w:after="80"/>
      </w:pPr>
      <w:r>
        <w:rPr>
          <w:rFonts w:ascii="Arial" w:cs="Arial" w:eastAsia="Arial" w:hAnsi="Arial"/>
          <w:color w:val="000000"/>
          <w:sz w:val="22"/>
          <w:szCs w:val="22"/>
        </w:rPr>
        <w:t xml:space="preserve">Verifica que exista el CSV de Bronze y lo lee con pd.read_csv.</w:t>
      </w:r>
    </w:p>
    <w:p>
      <w:pPr>
        <w:pStyle w:val="ListParagraph"/>
        <w:numPr>
          <w:ilvl w:val="0"/>
          <w:numId w:val="4"/>
        </w:numPr>
        <w:spacing w:after="80"/>
      </w:pPr>
      <w:r>
        <w:rPr>
          <w:rFonts w:ascii="Arial" w:cs="Arial" w:eastAsia="Arial" w:hAnsi="Arial"/>
          <w:color w:val="000000"/>
          <w:sz w:val="22"/>
          <w:szCs w:val="22"/>
        </w:rPr>
        <w:t xml:space="preserve">Elimina filas completamente vacías con dropna(how='all').</w:t>
      </w:r>
    </w:p>
    <w:p>
      <w:pPr>
        <w:pStyle w:val="ListParagraph"/>
        <w:numPr>
          <w:ilvl w:val="0"/>
          <w:numId w:val="4"/>
        </w:numPr>
        <w:spacing w:after="80"/>
      </w:pPr>
      <w:r>
        <w:rPr>
          <w:rFonts w:ascii="Arial" w:cs="Arial" w:eastAsia="Arial" w:hAnsi="Arial"/>
          <w:color w:val="000000"/>
          <w:sz w:val="22"/>
          <w:szCs w:val="22"/>
        </w:rPr>
        <w:t xml:space="preserve">Elimina filas duplicadas con drop_duplicates(). Aquí salen los 3 registros repetidos de Ricaurte (100 a 97).</w:t>
      </w:r>
    </w:p>
    <w:p>
      <w:pPr>
        <w:pStyle w:val="ListParagraph"/>
        <w:numPr>
          <w:ilvl w:val="0"/>
          <w:numId w:val="4"/>
        </w:numPr>
        <w:spacing w:after="80"/>
      </w:pPr>
      <w:r>
        <w:rPr>
          <w:rFonts w:ascii="Arial" w:cs="Arial" w:eastAsia="Arial" w:hAnsi="Arial"/>
          <w:color w:val="000000"/>
          <w:sz w:val="22"/>
          <w:szCs w:val="22"/>
        </w:rPr>
        <w:t xml:space="preserve">Estandariza los nombres de columnas: sin espacios, en minúsculas, con guion bajo y sin puntos.</w:t>
      </w:r>
    </w:p>
    <w:p>
      <w:pPr>
        <w:pStyle w:val="ListParagraph"/>
        <w:numPr>
          <w:ilvl w:val="0"/>
          <w:numId w:val="4"/>
        </w:numPr>
        <w:spacing w:after="80"/>
      </w:pPr>
      <w:r>
        <w:rPr>
          <w:rFonts w:ascii="Arial" w:cs="Arial" w:eastAsia="Arial" w:hAnsi="Arial"/>
          <w:color w:val="000000"/>
          <w:sz w:val="22"/>
          <w:szCs w:val="22"/>
        </w:rPr>
        <w:t xml:space="preserve">Rellena con "NO REGISTRADO" los nulos de columnas clave de texto y guarda el resultado en Silver.</w:t>
      </w:r>
    </w:p>
    <w:p>
      <w:pPr>
        <w:spacing w:after="120" w:line="276"/>
        <w:jc w:val="both"/>
      </w:pPr>
      <w:r>
        <w:rPr>
          <w:rFonts w:ascii="Arial" w:cs="Arial" w:eastAsia="Arial" w:hAnsi="Arial"/>
          <w:b/>
          <w:bCs/>
          <w:color w:val="000000"/>
          <w:sz w:val="22"/>
          <w:szCs w:val="22"/>
        </w:rPr>
        <w:t xml:space="preserve">load_database.py – función generar_capa_gold(ruta_entrada, ruta_salida)</w:t>
      </w:r>
    </w:p>
    <w:p>
      <w:pPr>
        <w:pStyle w:val="ListParagraph"/>
        <w:numPr>
          <w:ilvl w:val="0"/>
          <w:numId w:val="5"/>
        </w:numPr>
        <w:spacing w:after="80"/>
      </w:pPr>
      <w:r>
        <w:rPr>
          <w:rFonts w:ascii="Arial" w:cs="Arial" w:eastAsia="Arial" w:hAnsi="Arial"/>
          <w:color w:val="000000"/>
          <w:sz w:val="22"/>
          <w:szCs w:val="22"/>
        </w:rPr>
        <w:t xml:space="preserve">Lee el CSV de Silver.</w:t>
      </w:r>
    </w:p>
    <w:p>
      <w:pPr>
        <w:pStyle w:val="ListParagraph"/>
        <w:numPr>
          <w:ilvl w:val="0"/>
          <w:numId w:val="5"/>
        </w:numPr>
        <w:spacing w:after="80"/>
      </w:pPr>
      <w:r>
        <w:rPr>
          <w:rFonts w:ascii="Arial" w:cs="Arial" w:eastAsia="Arial" w:hAnsi="Arial"/>
          <w:color w:val="000000"/>
          <w:sz w:val="22"/>
          <w:szCs w:val="22"/>
        </w:rPr>
        <w:t xml:space="preserve">Define la columna de agrupación: nombre_entidad si existe; si no, la primera columna.</w:t>
      </w:r>
    </w:p>
    <w:p>
      <w:pPr>
        <w:pStyle w:val="ListParagraph"/>
        <w:numPr>
          <w:ilvl w:val="0"/>
          <w:numId w:val="5"/>
        </w:numPr>
        <w:spacing w:after="80"/>
      </w:pPr>
      <w:r>
        <w:rPr>
          <w:rFonts w:ascii="Arial" w:cs="Arial" w:eastAsia="Arial" w:hAnsi="Arial"/>
          <w:color w:val="000000"/>
          <w:sz w:val="22"/>
          <w:szCs w:val="22"/>
        </w:rPr>
        <w:t xml:space="preserve">Agrupa por entidad y cuenta procesos con groupby(...).agg(total_procesos=('id_del_proceso','count')).</w:t>
      </w:r>
    </w:p>
    <w:p>
      <w:pPr>
        <w:pStyle w:val="ListParagraph"/>
        <w:numPr>
          <w:ilvl w:val="0"/>
          <w:numId w:val="5"/>
        </w:numPr>
        <w:spacing w:after="80"/>
      </w:pPr>
      <w:r>
        <w:rPr>
          <w:rFonts w:ascii="Arial" w:cs="Arial" w:eastAsia="Arial" w:hAnsi="Arial"/>
          <w:color w:val="000000"/>
          <w:sz w:val="22"/>
          <w:szCs w:val="22"/>
        </w:rPr>
        <w:t xml:space="preserve">Ordena de mayor a menor, guarda el resumen en Gold y muestra las 5 primeras entidades.</w:t>
      </w:r>
    </w:p>
    <w:p>
      <w:pPr>
        <w:pStyle w:val="Heading2"/>
        <w:spacing w:after="120" w:before="220"/>
      </w:pPr>
      <w:r>
        <w:rPr>
          <w:rFonts w:ascii="Arial" w:cs="Arial" w:eastAsia="Arial" w:hAnsi="Arial"/>
          <w:b/>
          <w:bCs/>
          <w:color w:val="000000"/>
          <w:sz w:val="24"/>
          <w:szCs w:val="24"/>
        </w:rPr>
        <w:t xml:space="preserve">4.5 Orquestador main.py</w:t>
      </w:r>
    </w:p>
    <w:p>
      <w:pPr>
        <w:spacing w:after="120" w:line="276"/>
        <w:jc w:val="both"/>
      </w:pPr>
      <w:r>
        <w:rPr>
          <w:rFonts w:ascii="Arial" w:cs="Arial" w:eastAsia="Arial" w:hAnsi="Arial"/>
          <w:color w:val="000000"/>
          <w:sz w:val="22"/>
          <w:szCs w:val="22"/>
        </w:rPr>
        <w:t xml:space="preserve">main.py agrega la carpeta src a la ruta de Python con sys.path.append para importar las tres funciones. Luego configura el logging y ejecuta en orden la extracción (Bronze), la transformación (Silver) y la agregación (Gold). Cada paso recibe como entrada el archivo que dejó el anterior. Si alguna función devuelve None, se registra un error y el pipeline se detiene para no seguir con datos incompletos.</w:t>
      </w:r>
    </w:p>
    <w:p>
      <w:pPr>
        <w:pStyle w:val="Heading2"/>
        <w:spacing w:after="120" w:before="220"/>
      </w:pPr>
      <w:r>
        <w:rPr>
          <w:rFonts w:ascii="Arial" w:cs="Arial" w:eastAsia="Arial" w:hAnsi="Arial"/>
          <w:b/>
          <w:bCs/>
          <w:color w:val="000000"/>
          <w:sz w:val="24"/>
          <w:szCs w:val="24"/>
        </w:rPr>
        <w:t xml:space="preserve">4.6 Auditoría: logs/pipeline.log</w:t>
      </w:r>
    </w:p>
    <w:p>
      <w:pPr>
        <w:spacing w:after="120" w:line="276"/>
        <w:jc w:val="both"/>
      </w:pPr>
      <w:r>
        <w:rPr>
          <w:rFonts w:ascii="Arial" w:cs="Arial" w:eastAsia="Arial" w:hAnsi="Arial"/>
          <w:color w:val="000000"/>
          <w:sz w:val="22"/>
          <w:szCs w:val="22"/>
        </w:rPr>
        <w:t xml:space="preserve">logging.basicConfig se configura con nivel INFO, formato de fecha, hora y nivel, y dos destinos: un FileHandler que escribe en logs/pipeline.log y un StreamHandler que muestra lo mismo en la terminal. En la ejecución del 29 de septiembre de 2026 el log registra el inicio a las 11:46:45, las tres capas en orden y el mensaje de éxito. Todo el pipeline tardó menos de un segundo.</w:t>
      </w:r>
    </w:p>
    <w:p>
      <w:pPr>
        <w:pStyle w:val="Heading1"/>
        <w:spacing w:after="160" w:before="320"/>
      </w:pPr>
      <w:r>
        <w:rPr>
          <w:rFonts w:ascii="Arial" w:cs="Arial" w:eastAsia="Arial" w:hAnsi="Arial"/>
          <w:b/>
          <w:bCs/>
          <w:color w:val="000000"/>
          <w:sz w:val="28"/>
          <w:szCs w:val="28"/>
        </w:rPr>
        <w:t xml:space="preserve">5. Puntos débiles del código y cómo corregirlos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Punto débil</w:t>
            </w:r>
          </w:p>
        </w:tc>
        <w:tc>
          <w:tcPr>
            <w:tcW w:type="dxa" w:w="33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Por qué ocurre</w:t>
            </w:r>
          </w:p>
        </w:tc>
        <w:tc>
          <w:tcPr>
            <w:tcW w:type="dxa" w:w="338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Corrección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La imputación de Silver no se aplica</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Busca nombre_entidad, descripcion_del_proceso, estado_del_proceso y cuantia_proceso, que no existen en este dataset</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Usar los nombres reales: entidad, descripci_n_del_procedimiento, estado_del_procedimiento, precio_base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La estandarización de columnas no cambia nada</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La API ya entrega los nombres en minúscula y con guion bajo</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Mantenerla como protección ante cambios de la fuente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Gold funciona por respaldo</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 existe nombre_entidad y se toma la primera columna, que es entidad</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Apuntar directamente a la columna entidad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config.yaml no se lee</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URL y rutas escritas a mano en main.py y en cada script</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Cargar el YAML con pyyaml</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El log registra menos de lo que dice el README</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Los conteos se muestran con print, que no llega a pipeline.log</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Reemplazar print por logging.info</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tests/ y .env vacíos</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Archivos creados sin contenido (0 bytes)</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Escribir pruebas de extracción, transformación y calidad</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load_database.py no carga en una base de datos</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Genera un CSV agregado</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Cargar Gold en SQLite o MySQL, como en la Clase 8</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Extracción sin timeout ni try/except</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requests.get(url) sin límite de espera</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requests.get(url, timeout=20) dentro de try/except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Muestra de 100 registros</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Parámetro $limit=100</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Aumentar el límite o paginar con $offset</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Fechas como texto</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pandas las lee como str</w:t>
            </w:r>
          </w:p>
        </w:tc>
        <w:tc>
          <w:tcPr>
            <w:tcW w:type="dxa" w:w="338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Convertir con pd.to_datetime en Silver</w:t>
            </w:r>
          </w:p>
        </w:tc>
      </w:tr>
    </w:tbl>
    <w:p>
      <w:r>
        <w:br w:type="page"/>
      </w:r>
    </w:p>
    <w:p>
      <w:pPr>
        <w:pStyle w:val="Heading1"/>
        <w:spacing w:after="160" w:before="320"/>
      </w:pPr>
      <w:r>
        <w:rPr>
          <w:rFonts w:ascii="Arial" w:cs="Arial" w:eastAsia="Arial" w:hAnsi="Arial"/>
          <w:b/>
          <w:bCs/>
          <w:color w:val="000000"/>
          <w:sz w:val="28"/>
          <w:szCs w:val="28"/>
        </w:rPr>
        <w:t xml:space="preserve">6. Alineación con los OKR, KPIs y preguntas estratégicas del Avance 1</w:t>
      </w:r>
    </w:p>
    <w:p>
      <w:pPr>
        <w:spacing w:after="120" w:line="276"/>
        <w:jc w:val="both"/>
      </w:pPr>
      <w:r>
        <w:rPr>
          <w:rFonts w:ascii="Arial" w:cs="Arial" w:eastAsia="Arial" w:hAnsi="Arial"/>
          <w:color w:val="000000"/>
          <w:sz w:val="22"/>
          <w:szCs w:val="22"/>
        </w:rPr>
        <w:t xml:space="preserve">El Avance 1 planteó un objetivo ambicioso: integrar en un único punto de consulta la información de las cuatro entidades de control. El Corte 2 cubre por ahora una sola fuente (contratación pública de SECOP II). Es importante presentarlo así en la sustentación: el pipeline es la base técnica, y la integración de las demás entidades es el siguiente paso.</w:t>
      </w:r>
    </w:p>
    <w:p>
      <w:pPr>
        <w:pStyle w:val="Heading2"/>
        <w:spacing w:after="120" w:before="220"/>
      </w:pPr>
      <w:r>
        <w:rPr>
          <w:rFonts w:ascii="Arial" w:cs="Arial" w:eastAsia="Arial" w:hAnsi="Arial"/>
          <w:b/>
          <w:bCs/>
          <w:color w:val="000000"/>
          <w:sz w:val="24"/>
          <w:szCs w:val="24"/>
        </w:rPr>
        <w:t xml:space="preserve">6.1 Estado de los resultados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Resultado clave (KR)</w:t>
            </w:r>
          </w:p>
        </w:tc>
        <w:tc>
          <w:tcPr>
            <w:tcW w:type="dxa" w:w="50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Avance en el Corte 2</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Reducir el tiempo de consulta de semanas a minutos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Cumplido para la fuente de contratación: el pipeline corre en menos de un segundo</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Aumentar los cruces entre contratos, sanciones y procesos penales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Preparado: se conservan NIT de entidad, NIT del proveedor e ID del proceso, pero aún no hay fuentes de sanciones ni procesos penales</w:t>
            </w:r>
          </w:p>
        </w:tc>
      </w:tr>
      <w:tr>
        <w:tc>
          <w:tcPr>
            <w:tcW w:type="dxa" w:w="4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Disminuir los derechos de petición necesarios</w:t>
            </w:r>
          </w:p>
        </w:tc>
        <w:tc>
          <w:tcPr>
            <w:tcW w:type="dxa" w:w="50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Parcial: la información de contratación ya no requiere solicitud formal porque se obtiene de datos abiertos</w:t>
            </w:r>
          </w:p>
        </w:tc>
      </w:tr>
    </w:tbl>
    <w:p>
      <w:pPr>
        <w:pStyle w:val="Heading2"/>
        <w:spacing w:after="120" w:before="220"/>
      </w:pPr>
      <w:r>
        <w:rPr>
          <w:rFonts w:ascii="Arial" w:cs="Arial" w:eastAsia="Arial" w:hAnsi="Arial"/>
          <w:b/>
          <w:bCs/>
          <w:color w:val="000000"/>
          <w:sz w:val="24"/>
          <w:szCs w:val="24"/>
        </w:rPr>
        <w:t xml:space="preserve">6.2 Preguntas estratégicas: qué se puede responder hoy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960"/>
      </w:tblGrid>
      <w:tr>
        <w:trPr>
          <w:tblHeader/>
        </w:trPr>
        <w:tc>
          <w:tcPr>
            <w:tcW w:type="dxa" w:w="3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Pregunta del Avance 1</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¿Se responde con el Corte 2?</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Qué falta</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¿Cuántos contratos observados por la Contraloría derivaron en sanción o proceso penal?</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Datos de hallazgos fiscales, sanciones disciplinarias y procesos penales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¿Tiempo promedio entre la irregularidad y la sanción o acusación?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Fechas de sanción y de acusación de otras entidades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¿Qué funcionarios o contratistas aparecen en procesos de varias entidades?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Parcial</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Ya se tiene el proveedor adjudicado; falta cruzarlo con listas de responsables fiscales y sancionados</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¿En qué etapa se concentran las demoras?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Parcial</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Hay fechas por fase en SECOP, pero deben convertirse a fecha y ampliarse la muestra</w:t>
            </w:r>
          </w:p>
        </w:tc>
      </w:tr>
      <w:tr>
        <w:tc>
          <w:tcPr>
            <w:tcW w:type="dxa" w:w="3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¿Qué entidades tienen mayores tiempos de respuesta?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Registros de solicitudes entre entidades, que no son públicos; se simularían según la nota ética</w:t>
            </w:r>
          </w:p>
        </w:tc>
      </w:tr>
    </w:tbl>
    <w:p>
      <w:pPr>
        <w:spacing w:after="60"/>
      </w:pPr>
    </w:p>
    <w:p>
      <w:pPr>
        <w:spacing w:after="120" w:line="276"/>
        <w:jc w:val="both"/>
      </w:pPr>
      <w:r>
        <w:rPr>
          <w:rFonts w:ascii="Arial" w:cs="Arial" w:eastAsia="Arial" w:hAnsi="Arial"/>
          <w:color w:val="000000"/>
          <w:sz w:val="22"/>
          <w:szCs w:val="22"/>
        </w:rPr>
        <w:t xml:space="preserve">Además, el Corte 2 permite responder preguntas nuevas que conviene agregar al proyecto: qué entidades concentran más procesos, qué proporción de procesos se hace sin competencia abierta (contratación directa y régimen especial) y qué procesos tienen montos atípicos o precio base en cero.</w:t>
      </w:r>
    </w:p>
    <w:p>
      <w:pPr>
        <w:pStyle w:val="Heading2"/>
        <w:spacing w:after="120" w:before="220"/>
      </w:pPr>
      <w:r>
        <w:rPr>
          <w:rFonts w:ascii="Arial" w:cs="Arial" w:eastAsia="Arial" w:hAnsi="Arial"/>
          <w:b/>
          <w:bCs/>
          <w:color w:val="000000"/>
          <w:sz w:val="24"/>
          <w:szCs w:val="24"/>
        </w:rPr>
        <w:t xml:space="preserve">6.3 Llaves de cruce entre fuentes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Llave</w:t>
            </w:r>
          </w:p>
        </w:tc>
        <w:tc>
          <w:tcPr>
            <w:tcW w:type="dxa" w:w="3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Columna en SECOP II</w:t>
            </w:r>
          </w:p>
        </w:tc>
        <w:tc>
          <w:tcPr>
            <w:tcW w:type="dxa" w:w="3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Con qué se cruzaría</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NIT de la entidad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nit_entidad</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Hallazgos y procesos de responsabilidad fiscal de la Contraloría</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NIT o documento del contratista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nit_del_proveedor_adjudicado</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Boletín de responsables fiscales, sanciones disciplinarias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ID del proceso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id_del_proceso</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Contratos firmados en SECOP II y expedientes de investigación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Nombre del proveedor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nombre_del_proveedor</w:t>
            </w:r>
          </w:p>
        </w:tc>
        <w:tc>
          <w:tcPr>
            <w:tcW w:type="dxa" w:w="37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Cruce de apoyo cuando no hay identificador numérico</w:t>
            </w:r>
          </w:p>
        </w:tc>
      </w:tr>
    </w:tbl>
    <w:p>
      <w:pPr>
        <w:pStyle w:val="Heading1"/>
        <w:spacing w:after="160" w:before="320"/>
      </w:pPr>
      <w:r>
        <w:rPr>
          <w:rFonts w:ascii="Arial" w:cs="Arial" w:eastAsia="Arial" w:hAnsi="Arial"/>
          <w:b/>
          <w:bCs/>
          <w:color w:val="000000"/>
          <w:sz w:val="28"/>
          <w:szCs w:val="28"/>
        </w:rPr>
        <w:t xml:space="preserve">7. Análisis de las fuentes y enlaces del Avance 1</w:t>
      </w:r>
    </w:p>
    <w:p>
      <w:pPr>
        <w:pStyle w:val="Heading2"/>
        <w:spacing w:after="120" w:before="220"/>
      </w:pPr>
      <w:r>
        <w:rPr>
          <w:rFonts w:ascii="Arial" w:cs="Arial" w:eastAsia="Arial" w:hAnsi="Arial"/>
          <w:b/>
          <w:bCs/>
          <w:color w:val="000000"/>
          <w:sz w:val="24"/>
          <w:szCs w:val="24"/>
        </w:rPr>
        <w:t xml:space="preserve">7.1 Revisión de las fuentes relacionadas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3960"/>
      </w:tblGrid>
      <w:tr>
        <w:trPr>
          <w:tblHeader/>
        </w:trPr>
        <w:tc>
          <w:tcPr>
            <w:tcW w:type="dxa" w:w="3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Fuente</w:t>
            </w:r>
          </w:p>
        </w:tc>
        <w:tc>
          <w:tcPr>
            <w:tcW w:type="dxa" w:w="17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Estado</w:t>
            </w:r>
          </w:p>
        </w:tc>
        <w:tc>
          <w:tcPr>
            <w:tcW w:type="dxa" w:w="39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Observación</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datos.gov.co (SECOP II Procesos, p6dx-8zbt)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En uso</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Es la fuente actual del pipeline</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Contraloría (contraloria.gov.co / datosabiertos.contraloria.gov.co)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Pendiente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Clave para el cruce fiscal; no se ha integrado</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Procuraduría (procuraduria.gov.co)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Pendiente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Las sanciones se consultan de forma individual; no hay descarga masiva evidente</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Fiscalía (fiscalia.gov.co)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Pendiente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Publica estadísticas agregadas por delito, no expedientes individuales</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Policía (portalsiedco.policia.gov.co)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Pendiente</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Estadística delictiva general; hay que verificar si incluye delitos contra la administración pública</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Medicina Legal (boletines mensuales)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Revisar pertinencia</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Reporta lesiones y muertes violentas; su relación con delitos contra la administración pública es débil</w:t>
            </w:r>
          </w:p>
        </w:tc>
      </w:tr>
      <w:t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Expediente 2020-00023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Caso de estudio</w:t>
            </w:r>
          </w:p>
        </w:tc>
        <w:tc>
          <w:tcPr>
            <w:tcW w:type="dxa" w:w="39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Sirve como evidencia del problema, no como fuente del pipeline</w:t>
            </w:r>
          </w:p>
        </w:tc>
      </w:tr>
    </w:tbl>
    <w:p>
      <w:pPr>
        <w:pStyle w:val="Heading2"/>
        <w:spacing w:after="120" w:before="220"/>
      </w:pPr>
      <w:r>
        <w:rPr>
          <w:rFonts w:ascii="Arial" w:cs="Arial" w:eastAsia="Arial" w:hAnsi="Arial"/>
          <w:b/>
          <w:bCs/>
          <w:color w:val="000000"/>
          <w:sz w:val="24"/>
          <w:szCs w:val="24"/>
        </w:rPr>
        <w:t xml:space="preserve">7.2 Información que hace falta relacionar</w:t>
      </w:r>
    </w:p>
    <w:p>
      <w:pPr>
        <w:pStyle w:val="ListParagraph"/>
        <w:numPr>
          <w:ilvl w:val="0"/>
          <w:numId w:val="2"/>
        </w:numPr>
        <w:spacing w:after="80"/>
      </w:pPr>
      <w:r>
        <w:rPr>
          <w:rFonts w:ascii="Arial" w:cs="Arial" w:eastAsia="Arial" w:hAnsi="Arial"/>
          <w:b/>
          <w:bCs/>
          <w:color w:val="000000"/>
          <w:sz w:val="22"/>
          <w:szCs w:val="22"/>
        </w:rPr>
        <w:t xml:space="preserve">Tabla de ejemplo en la sección 4 del Avance 1.</w:t>
      </w:r>
      <w:r>
        <w:rPr>
          <w:rFonts w:ascii="Arial" w:cs="Arial" w:eastAsia="Arial" w:hAnsi="Arial"/>
          <w:color w:val="000000"/>
          <w:sz w:val="22"/>
          <w:szCs w:val="22"/>
        </w:rPr>
        <w:t xml:space="preserve"> El documento conserva la tabla de la plantilla (Ventas, Clientes, Logs Web, Finanzas, Redes Sociales), que no corresponde al proyecto. Debe reemplazarse por una tabla con las fuentes reales, como la que se propone en 7.3.</w:t>
      </w:r>
    </w:p>
    <w:p>
      <w:pPr>
        <w:pStyle w:val="ListParagraph"/>
        <w:numPr>
          <w:ilvl w:val="0"/>
          <w:numId w:val="2"/>
        </w:numPr>
        <w:spacing w:after="80"/>
      </w:pPr>
      <w:r>
        <w:rPr>
          <w:rFonts w:ascii="Arial" w:cs="Arial" w:eastAsia="Arial" w:hAnsi="Arial"/>
          <w:b/>
          <w:bCs/>
          <w:color w:val="000000"/>
          <w:sz w:val="22"/>
          <w:szCs w:val="22"/>
        </w:rPr>
        <w:t xml:space="preserve">Medicina Legal.</w:t>
      </w:r>
      <w:r>
        <w:rPr>
          <w:rFonts w:ascii="Arial" w:cs="Arial" w:eastAsia="Arial" w:hAnsi="Arial"/>
          <w:color w:val="000000"/>
          <w:sz w:val="22"/>
          <w:szCs w:val="22"/>
        </w:rPr>
        <w:t xml:space="preserve"> Si se mantiene, hay que justificar su relación con el problema. Si no, conviene retirarla para no desviar el alcance.</w:t>
      </w:r>
    </w:p>
    <w:p>
      <w:pPr>
        <w:pStyle w:val="ListParagraph"/>
        <w:numPr>
          <w:ilvl w:val="0"/>
          <w:numId w:val="2"/>
        </w:numPr>
        <w:spacing w:after="80"/>
      </w:pPr>
      <w:r>
        <w:rPr>
          <w:rFonts w:ascii="Arial" w:cs="Arial" w:eastAsia="Arial" w:hAnsi="Arial"/>
          <w:b/>
          <w:bCs/>
          <w:color w:val="000000"/>
          <w:sz w:val="22"/>
          <w:szCs w:val="22"/>
        </w:rPr>
        <w:t xml:space="preserve">SIEDCO de la Policía.</w:t>
      </w:r>
      <w:r>
        <w:rPr>
          <w:rFonts w:ascii="Arial" w:cs="Arial" w:eastAsia="Arial" w:hAnsi="Arial"/>
          <w:color w:val="000000"/>
          <w:sz w:val="22"/>
          <w:szCs w:val="22"/>
        </w:rPr>
        <w:t xml:space="preserve"> El enlace abre un portal de tableros, no una API. La extracción requeriría descarga manual o scraping, y hay que confirmar que exista información sobre delitos contra la administración pública.</w:t>
      </w:r>
    </w:p>
    <w:p>
      <w:pPr>
        <w:pStyle w:val="ListParagraph"/>
        <w:numPr>
          <w:ilvl w:val="0"/>
          <w:numId w:val="2"/>
        </w:numPr>
        <w:spacing w:after="80"/>
      </w:pPr>
      <w:r>
        <w:rPr>
          <w:rFonts w:ascii="Arial" w:cs="Arial" w:eastAsia="Arial" w:hAnsi="Arial"/>
          <w:b/>
          <w:bCs/>
          <w:color w:val="000000"/>
          <w:sz w:val="22"/>
          <w:szCs w:val="22"/>
        </w:rPr>
        <w:t xml:space="preserve">Contratos firmados.</w:t>
      </w:r>
      <w:r>
        <w:rPr>
          <w:rFonts w:ascii="Arial" w:cs="Arial" w:eastAsia="Arial" w:hAnsi="Arial"/>
          <w:color w:val="000000"/>
          <w:sz w:val="22"/>
          <w:szCs w:val="22"/>
        </w:rPr>
        <w:t xml:space="preserve"> SECOP II publica, además de los procesos, un conjunto de contratos electrónicos con el valor firmado y el contratista. En datos.gov.co suele identificarse como jbjy-vk9h; hay que confirmar el identificador en el portal antes de usarlo.</w:t>
      </w:r>
    </w:p>
    <w:p>
      <w:pPr>
        <w:pStyle w:val="ListParagraph"/>
        <w:numPr>
          <w:ilvl w:val="0"/>
          <w:numId w:val="2"/>
        </w:numPr>
        <w:spacing w:after="80"/>
      </w:pPr>
      <w:r>
        <w:rPr>
          <w:rFonts w:ascii="Arial" w:cs="Arial" w:eastAsia="Arial" w:hAnsi="Arial"/>
          <w:b/>
          <w:bCs/>
          <w:color w:val="000000"/>
          <w:sz w:val="22"/>
          <w:szCs w:val="22"/>
        </w:rPr>
        <w:t xml:space="preserve">Responsables fiscales.</w:t>
      </w:r>
      <w:r>
        <w:rPr>
          <w:rFonts w:ascii="Arial" w:cs="Arial" w:eastAsia="Arial" w:hAnsi="Arial"/>
          <w:color w:val="000000"/>
          <w:sz w:val="22"/>
          <w:szCs w:val="22"/>
        </w:rPr>
        <w:t xml:space="preserve"> La Contraloría publica periódicamente el Boletín de Responsables Fiscales, que permitiría cruzar contratistas y funcionarios por documento de identidad.</w:t>
      </w:r>
    </w:p>
    <w:p>
      <w:pPr>
        <w:pStyle w:val="ListParagraph"/>
        <w:numPr>
          <w:ilvl w:val="0"/>
          <w:numId w:val="2"/>
        </w:numPr>
        <w:spacing w:after="80"/>
      </w:pPr>
      <w:r>
        <w:rPr>
          <w:rFonts w:ascii="Arial" w:cs="Arial" w:eastAsia="Arial" w:hAnsi="Arial"/>
          <w:b/>
          <w:bCs/>
          <w:color w:val="000000"/>
          <w:sz w:val="22"/>
          <w:szCs w:val="22"/>
        </w:rPr>
        <w:t xml:space="preserve">Sanciones disciplinarias.</w:t>
      </w:r>
      <w:r>
        <w:rPr>
          <w:rFonts w:ascii="Arial" w:cs="Arial" w:eastAsia="Arial" w:hAnsi="Arial"/>
          <w:color w:val="000000"/>
          <w:sz w:val="22"/>
          <w:szCs w:val="22"/>
        </w:rPr>
        <w:t xml:space="preserve"> Si la Procuraduría no ofrece descarga masiva, se aplica la nota ética del Avance 1: construir un conjunto simulado con la misma estructura.</w:t>
      </w:r>
    </w:p>
    <w:p>
      <w:pPr>
        <w:pStyle w:val="ListParagraph"/>
        <w:numPr>
          <w:ilvl w:val="0"/>
          <w:numId w:val="2"/>
        </w:numPr>
        <w:spacing w:after="80"/>
      </w:pPr>
      <w:r>
        <w:rPr>
          <w:rFonts w:ascii="Arial" w:cs="Arial" w:eastAsia="Arial" w:hAnsi="Arial"/>
          <w:b/>
          <w:bCs/>
          <w:color w:val="000000"/>
          <w:sz w:val="22"/>
          <w:szCs w:val="22"/>
        </w:rPr>
        <w:t xml:space="preserve">README.</w:t>
      </w:r>
      <w:r>
        <w:rPr>
          <w:rFonts w:ascii="Arial" w:cs="Arial" w:eastAsia="Arial" w:hAnsi="Arial"/>
          <w:color w:val="000000"/>
          <w:sz w:val="22"/>
          <w:szCs w:val="22"/>
        </w:rPr>
        <w:t xml:space="preserve"> Solo menciona a Diego Fernando Arenas Lasso; debe incluir a los cinco integrantes.</w:t>
      </w:r>
    </w:p>
    <w:p>
      <w:pPr>
        <w:pStyle w:val="Heading2"/>
        <w:spacing w:after="120" w:before="220"/>
      </w:pPr>
      <w:r>
        <w:rPr>
          <w:rFonts w:ascii="Arial" w:cs="Arial" w:eastAsia="Arial" w:hAnsi="Arial"/>
          <w:b/>
          <w:bCs/>
          <w:color w:val="000000"/>
          <w:sz w:val="24"/>
          <w:szCs w:val="24"/>
        </w:rPr>
        <w:t xml:space="preserve">7.3 Tabla de fuentes propuesta para reemplazar la de la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300"/>
        <w:gridCol w:w="1200"/>
        <w:gridCol w:w="1860"/>
        <w:gridCol w:w="1100"/>
      </w:tblGrid>
      <w:tr>
        <w:trPr>
          <w:tblHeader/>
        </w:trPr>
        <w:tc>
          <w:tcPr>
            <w:tcW w:type="dxa" w:w="19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Fuente</w:t>
            </w:r>
          </w:p>
        </w:tc>
        <w:tc>
          <w:tcPr>
            <w:tcW w:type="dxa" w:w="20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Sistema</w:t>
            </w:r>
          </w:p>
        </w:tc>
        <w:tc>
          <w:tcPr>
            <w:tcW w:type="dxa" w:w="13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Tipo</w:t>
            </w:r>
          </w:p>
        </w:tc>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Frecuencia</w:t>
            </w:r>
          </w:p>
        </w:tc>
        <w:tc>
          <w:tcPr>
            <w:tcW w:type="dxa" w:w="18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Dueño</w:t>
            </w:r>
          </w:p>
        </w:tc>
        <w:tc>
          <w:tcPr>
            <w:tcW w:type="dxa" w:w="11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tcPr>
          <w:p>
            <w:r>
              <w:rPr>
                <w:rFonts w:ascii="Arial" w:cs="Arial" w:eastAsia="Arial" w:hAnsi="Arial"/>
                <w:b/>
                <w:bCs/>
                <w:color w:val="000000"/>
                <w:sz w:val="19"/>
                <w:szCs w:val="19"/>
              </w:rPr>
              <w:t xml:space="preserve">Calidad</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Procesos de contratación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SECOP II (API datos.gov.co)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Transaccional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Diaria</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Colombia Compra Eficiente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Media</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Contratos firmados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SECOP II (API datos.gov.co)</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Transaccional</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Diaria</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Colombia Compra Eficiente</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 evaluar</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Responsables fiscales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Portal Contraloría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Histórico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Trimestral</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Contraloría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 evaluar</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Sanciones disciplinarias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Procuraduría / datos simulados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Histórico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Mensual</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Procuraduría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Simulado</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Estadística delictiva</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SIEDCO Policía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Agregado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Mensual</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Policía Nacional</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 evaluar</w:t>
            </w:r>
          </w:p>
        </w:tc>
      </w:tr>
      <w:t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Estadística de procesos penales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Portal Fiscalía</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Agregado</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Periódica</w:t>
            </w:r>
          </w:p>
        </w:tc>
        <w:tc>
          <w:tcPr>
            <w:tcW w:type="dxa" w:w="186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Fiscalía</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Por evaluar</w:t>
            </w:r>
          </w:p>
        </w:tc>
      </w:tr>
    </w:tbl>
    <w:p>
      <w:pPr>
        <w:spacing w:after="60"/>
      </w:pPr>
    </w:p>
    <w:p>
      <w:pPr>
        <w:spacing w:after="120" w:line="276"/>
        <w:jc w:val="both"/>
      </w:pPr>
      <w:r>
        <w:rPr>
          <w:rFonts w:ascii="Arial" w:cs="Arial" w:eastAsia="Arial" w:hAnsi="Arial"/>
          <w:color w:val="000000"/>
          <w:sz w:val="22"/>
          <w:szCs w:val="22"/>
        </w:rPr>
        <w:t xml:space="preserve">La calidad de SECOP II se califica como media por lo que mostró el EDA: duplicados, fechas en texto, montos en cero y valores extremos.</w:t>
      </w:r>
    </w:p>
    <w:p>
      <w:r>
        <w:br w:type="page"/>
      </w:r>
    </w:p>
    <w:p>
      <w:pPr>
        <w:pStyle w:val="Heading1"/>
        <w:spacing w:after="160" w:before="320"/>
      </w:pPr>
      <w:r>
        <w:rPr>
          <w:rFonts w:ascii="Arial" w:cs="Arial" w:eastAsia="Arial" w:hAnsi="Arial"/>
          <w:b/>
          <w:bCs/>
          <w:color w:val="000000"/>
          <w:sz w:val="28"/>
          <w:szCs w:val="28"/>
        </w:rPr>
        <w:t xml:space="preserve">8. Conclusiones</w:t>
      </w:r>
    </w:p>
    <w:p>
      <w:pPr>
        <w:pStyle w:val="ListParagraph"/>
        <w:numPr>
          <w:ilvl w:val="0"/>
          <w:numId w:val="2"/>
        </w:numPr>
        <w:spacing w:after="80"/>
      </w:pPr>
      <w:r>
        <w:rPr>
          <w:rFonts w:ascii="Arial" w:cs="Arial" w:eastAsia="Arial" w:hAnsi="Arial"/>
          <w:color w:val="000000"/>
          <w:sz w:val="22"/>
          <w:szCs w:val="22"/>
        </w:rPr>
        <w:t xml:space="preserve">Se construyó un pipeline modular que extrae, limpia y resume procesos de contratación pública con un solo comando y deja rastro en un log.</w:t>
      </w:r>
    </w:p>
    <w:p>
      <w:pPr>
        <w:pStyle w:val="ListParagraph"/>
        <w:numPr>
          <w:ilvl w:val="0"/>
          <w:numId w:val="2"/>
        </w:numPr>
        <w:spacing w:after="80"/>
      </w:pPr>
      <w:r>
        <w:rPr>
          <w:rFonts w:ascii="Arial" w:cs="Arial" w:eastAsia="Arial" w:hAnsi="Arial"/>
          <w:color w:val="000000"/>
          <w:sz w:val="22"/>
          <w:szCs w:val="22"/>
        </w:rPr>
        <w:t xml:space="preserve">El EDA confirmó que el dato crudo no es confiable sin limpieza: un proceso repetido cuatro veces convertía a una alcaldía en la entidad con más contratos.</w:t>
      </w:r>
    </w:p>
    <w:p>
      <w:pPr>
        <w:pStyle w:val="ListParagraph"/>
        <w:numPr>
          <w:ilvl w:val="0"/>
          <w:numId w:val="2"/>
        </w:numPr>
        <w:spacing w:after="80"/>
      </w:pPr>
      <w:r>
        <w:rPr>
          <w:rFonts w:ascii="Arial" w:cs="Arial" w:eastAsia="Arial" w:hAnsi="Arial"/>
          <w:color w:val="000000"/>
          <w:sz w:val="22"/>
          <w:szCs w:val="22"/>
        </w:rPr>
        <w:t xml:space="preserve">Los nulos de la fuente se explican por la etapa del proceso, así que se conservan en lugar de imputarse.</w:t>
      </w:r>
    </w:p>
    <w:p>
      <w:pPr>
        <w:pStyle w:val="ListParagraph"/>
        <w:numPr>
          <w:ilvl w:val="0"/>
          <w:numId w:val="2"/>
        </w:numPr>
        <w:spacing w:after="80"/>
      </w:pPr>
      <w:r>
        <w:rPr>
          <w:rFonts w:ascii="Arial" w:cs="Arial" w:eastAsia="Arial" w:hAnsi="Arial"/>
          <w:color w:val="000000"/>
          <w:sz w:val="22"/>
          <w:szCs w:val="22"/>
        </w:rPr>
        <w:t xml:space="preserve">La muestra revela un patrón relevante: 80 de 100 procesos se hicieron por contratación directa o régimen especial, con una mediana de cero proveedores invitados.</w:t>
      </w:r>
    </w:p>
    <w:p>
      <w:pPr>
        <w:pStyle w:val="ListParagraph"/>
        <w:numPr>
          <w:ilvl w:val="0"/>
          <w:numId w:val="2"/>
        </w:numPr>
        <w:spacing w:after="80"/>
      </w:pPr>
      <w:r>
        <w:rPr>
          <w:rFonts w:ascii="Arial" w:cs="Arial" w:eastAsia="Arial" w:hAnsi="Arial"/>
          <w:color w:val="000000"/>
          <w:sz w:val="22"/>
          <w:szCs w:val="22"/>
        </w:rPr>
        <w:t xml:space="preserve">La distribución de precio_base está muy sesgada, por lo que conviene reportar la mediana y no el promedio.</w:t>
      </w:r>
    </w:p>
    <w:p>
      <w:pPr>
        <w:pStyle w:val="ListParagraph"/>
        <w:numPr>
          <w:ilvl w:val="0"/>
          <w:numId w:val="2"/>
        </w:numPr>
        <w:spacing w:after="80"/>
      </w:pPr>
      <w:r>
        <w:rPr>
          <w:rFonts w:ascii="Arial" w:cs="Arial" w:eastAsia="Arial" w:hAnsi="Arial"/>
          <w:color w:val="000000"/>
          <w:sz w:val="22"/>
          <w:szCs w:val="22"/>
        </w:rPr>
        <w:t xml:space="preserve">El Corte 2 resuelve la parte de contratación del problema planteado en el Avance 1. La integración de Contraloría, Procuraduría, Fiscalía y Policía es el trabajo pendiente para completar el objetivo.</w:t>
      </w:r>
    </w:p>
    <w:p>
      <w:pPr>
        <w:pStyle w:val="Heading2"/>
        <w:spacing w:after="120" w:before="220"/>
      </w:pPr>
      <w:r>
        <w:rPr>
          <w:rFonts w:ascii="Arial" w:cs="Arial" w:eastAsia="Arial" w:hAnsi="Arial"/>
          <w:b/>
          <w:bCs/>
          <w:color w:val="000000"/>
          <w:sz w:val="24"/>
          <w:szCs w:val="24"/>
        </w:rPr>
        <w:t xml:space="preserve">8.1 Qué significa cada capa</w:t>
      </w:r>
    </w:p>
    <w:p>
      <w:pPr>
        <w:spacing w:after="120" w:line="276"/>
        <w:jc w:val="both"/>
      </w:pPr>
      <w:r>
        <w:rPr>
          <w:rFonts w:ascii="Arial" w:cs="Arial" w:eastAsia="Arial" w:hAnsi="Arial"/>
          <w:b/>
          <w:bCs/>
          <w:color w:val="000000"/>
          <w:sz w:val="22"/>
          <w:szCs w:val="22"/>
        </w:rPr>
        <w:t xml:space="preserve">Bronze:</w:t>
      </w:r>
      <w:r>
        <w:rPr>
          <w:rFonts w:ascii="Arial" w:cs="Arial" w:eastAsia="Arial" w:hAnsi="Arial"/>
          <w:color w:val="000000"/>
          <w:sz w:val="22"/>
          <w:szCs w:val="22"/>
        </w:rPr>
        <w:t xml:space="preserve"> copia fiel de lo que entregó la API (100 procesos × 56 variables). No se modifica nunca, para poder volver al original y auditar.</w:t>
      </w:r>
    </w:p>
    <w:p>
      <w:pPr>
        <w:spacing w:after="120" w:line="276"/>
        <w:jc w:val="both"/>
      </w:pPr>
      <w:r>
        <w:rPr>
          <w:rFonts w:ascii="Arial" w:cs="Arial" w:eastAsia="Arial" w:hAnsi="Arial"/>
          <w:b/>
          <w:bCs/>
          <w:color w:val="000000"/>
          <w:sz w:val="22"/>
          <w:szCs w:val="22"/>
        </w:rPr>
        <w:t xml:space="preserve">Silver:</w:t>
      </w:r>
      <w:r>
        <w:rPr>
          <w:rFonts w:ascii="Arial" w:cs="Arial" w:eastAsia="Arial" w:hAnsi="Arial"/>
          <w:color w:val="000000"/>
          <w:sz w:val="22"/>
          <w:szCs w:val="22"/>
        </w:rPr>
        <w:t xml:space="preserve"> versión confiable (97 procesos). Se eliminaron 3 duplicados exactos, se verificó que no hubiera filas vacías y los nombres de columnas quedaron estandarizados.</w:t>
      </w:r>
    </w:p>
    <w:p>
      <w:pPr>
        <w:spacing w:after="120" w:line="276"/>
        <w:jc w:val="both"/>
      </w:pPr>
      <w:r>
        <w:rPr>
          <w:rFonts w:ascii="Arial" w:cs="Arial" w:eastAsia="Arial" w:hAnsi="Arial"/>
          <w:b/>
          <w:bCs/>
          <w:color w:val="000000"/>
          <w:sz w:val="22"/>
          <w:szCs w:val="22"/>
        </w:rPr>
        <w:t xml:space="preserve">Gold:</w:t>
      </w:r>
      <w:r>
        <w:rPr>
          <w:rFonts w:ascii="Arial" w:cs="Arial" w:eastAsia="Arial" w:hAnsi="Arial"/>
          <w:color w:val="000000"/>
          <w:sz w:val="22"/>
          <w:szCs w:val="22"/>
        </w:rPr>
        <w:t xml:space="preserve"> producto para quien toma decisiones (88 entidades con su total de procesos, ordenadas). El Banco de la República aparece primero con 3 procesos, seguido de siete entidades con 2, entre ellas INVIAS, el Ministerio de Salud, la USPEC y la Universidad Nacional. Las demás tienen 1 proceso cada una.</w:t>
      </w:r>
    </w:p>
    <w:p>
      <w:pPr>
        <w:pStyle w:val="Heading1"/>
        <w:spacing w:after="160" w:before="320"/>
      </w:pPr>
      <w:r>
        <w:rPr>
          <w:rFonts w:ascii="Arial" w:cs="Arial" w:eastAsia="Arial" w:hAnsi="Arial"/>
          <w:b/>
          <w:bCs/>
          <w:color w:val="000000"/>
          <w:sz w:val="28"/>
          <w:szCs w:val="28"/>
        </w:rPr>
        <w:t xml:space="preserve">9. Preguntas probables en la sustentación</w:t>
      </w:r>
    </w:p>
    <w:p>
      <w:pPr>
        <w:spacing w:after="120" w:line="276"/>
        <w:jc w:val="both"/>
      </w:pPr>
      <w:r>
        <w:rPr>
          <w:rFonts w:ascii="Arial" w:cs="Arial" w:eastAsia="Arial" w:hAnsi="Arial"/>
          <w:b/>
          <w:bCs/>
          <w:color w:val="000000"/>
          <w:sz w:val="22"/>
          <w:szCs w:val="22"/>
        </w:rPr>
        <w:t xml:space="preserve">1. ¿Por qué usar arquitectura Medallón?</w:t>
      </w:r>
    </w:p>
    <w:p>
      <w:pPr>
        <w:spacing w:after="120" w:line="276"/>
        <w:jc w:val="both"/>
      </w:pPr>
      <w:r>
        <w:rPr>
          <w:rFonts w:ascii="Arial" w:cs="Arial" w:eastAsia="Arial" w:hAnsi="Arial"/>
          <w:color w:val="000000"/>
          <w:sz w:val="22"/>
          <w:szCs w:val="22"/>
        </w:rPr>
        <w:t xml:space="preserve">Para separar el dato original, el limpio y el analítico. Si algo sale mal en la limpieza, Bronze sigue intacto y se puede reprocesar.</w:t>
      </w:r>
    </w:p>
    <w:p>
      <w:pPr>
        <w:spacing w:after="120" w:line="276"/>
        <w:jc w:val="both"/>
      </w:pPr>
      <w:r>
        <w:rPr>
          <w:rFonts w:ascii="Arial" w:cs="Arial" w:eastAsia="Arial" w:hAnsi="Arial"/>
          <w:b/>
          <w:bCs/>
          <w:color w:val="000000"/>
          <w:sz w:val="22"/>
          <w:szCs w:val="22"/>
        </w:rPr>
        <w:t xml:space="preserve">2. ¿Por qué bajó de 100 a 97 registros?</w:t>
      </w:r>
    </w:p>
    <w:p>
      <w:pPr>
        <w:spacing w:after="120" w:line="276"/>
        <w:jc w:val="both"/>
      </w:pPr>
      <w:r>
        <w:rPr>
          <w:rFonts w:ascii="Arial" w:cs="Arial" w:eastAsia="Arial" w:hAnsi="Arial"/>
          <w:color w:val="000000"/>
          <w:sz w:val="22"/>
          <w:szCs w:val="22"/>
        </w:rPr>
        <w:t xml:space="preserve">Porque drop_duplicates eliminó tres copias exactas del proceso CO1.REQ.3469058 de la Alcaldía de Ricaurte.</w:t>
      </w:r>
    </w:p>
    <w:p>
      <w:pPr>
        <w:spacing w:after="120" w:line="276"/>
        <w:jc w:val="both"/>
      </w:pPr>
      <w:r>
        <w:rPr>
          <w:rFonts w:ascii="Arial" w:cs="Arial" w:eastAsia="Arial" w:hAnsi="Arial"/>
          <w:b/>
          <w:bCs/>
          <w:color w:val="000000"/>
          <w:sz w:val="22"/>
          <w:szCs w:val="22"/>
        </w:rPr>
        <w:t xml:space="preserve">3. ¿Por qué no rellenaron las fechas vacías?</w:t>
      </w:r>
    </w:p>
    <w:p>
      <w:pPr>
        <w:spacing w:after="120" w:line="276"/>
        <w:jc w:val="both"/>
      </w:pPr>
      <w:r>
        <w:rPr>
          <w:rFonts w:ascii="Arial" w:cs="Arial" w:eastAsia="Arial" w:hAnsi="Arial"/>
          <w:color w:val="000000"/>
          <w:sz w:val="22"/>
          <w:szCs w:val="22"/>
        </w:rPr>
        <w:t xml:space="preserve">Porque son vacíos lógicos: una fecha de adjudicación no existe si el proceso aún no se adjudicó.</w:t>
      </w:r>
    </w:p>
    <w:p>
      <w:pPr>
        <w:spacing w:after="120" w:line="276"/>
        <w:jc w:val="both"/>
      </w:pPr>
      <w:r>
        <w:rPr>
          <w:rFonts w:ascii="Arial" w:cs="Arial" w:eastAsia="Arial" w:hAnsi="Arial"/>
          <w:b/>
          <w:bCs/>
          <w:color w:val="000000"/>
          <w:sz w:val="22"/>
          <w:szCs w:val="22"/>
        </w:rPr>
        <w:t xml:space="preserve">4. ¿Qué hace main.py?</w:t>
      </w:r>
    </w:p>
    <w:p>
      <w:pPr>
        <w:spacing w:after="120" w:line="276"/>
        <w:jc w:val="both"/>
      </w:pPr>
      <w:r>
        <w:rPr>
          <w:rFonts w:ascii="Arial" w:cs="Arial" w:eastAsia="Arial" w:hAnsi="Arial"/>
          <w:color w:val="000000"/>
          <w:sz w:val="22"/>
          <w:szCs w:val="22"/>
        </w:rPr>
        <w:t xml:space="preserve">Importa las tres funciones, las ejecuta en orden pasando la salida de una como entrada de la siguiente, detiene el proceso si alguna devuelve None y registra todo en el log.</w:t>
      </w:r>
    </w:p>
    <w:p>
      <w:pPr>
        <w:spacing w:after="120" w:line="276"/>
        <w:jc w:val="both"/>
      </w:pPr>
      <w:r>
        <w:rPr>
          <w:rFonts w:ascii="Arial" w:cs="Arial" w:eastAsia="Arial" w:hAnsi="Arial"/>
          <w:b/>
          <w:bCs/>
          <w:color w:val="000000"/>
          <w:sz w:val="22"/>
          <w:szCs w:val="22"/>
        </w:rPr>
        <w:t xml:space="preserve">5. ¿Para qué sirve el log?</w:t>
      </w:r>
    </w:p>
    <w:p>
      <w:pPr>
        <w:spacing w:after="120" w:line="276"/>
        <w:jc w:val="both"/>
      </w:pPr>
      <w:r>
        <w:rPr>
          <w:rFonts w:ascii="Arial" w:cs="Arial" w:eastAsia="Arial" w:hAnsi="Arial"/>
          <w:color w:val="000000"/>
          <w:sz w:val="22"/>
          <w:szCs w:val="22"/>
        </w:rPr>
        <w:t xml:space="preserve">Para auditar cada ejecución con fecha, hora y nivel (INFO o ERROR) sin depender de la terminal.</w:t>
      </w:r>
    </w:p>
    <w:p>
      <w:pPr>
        <w:spacing w:after="120" w:line="276"/>
        <w:jc w:val="both"/>
      </w:pPr>
      <w:r>
        <w:rPr>
          <w:rFonts w:ascii="Arial" w:cs="Arial" w:eastAsia="Arial" w:hAnsi="Arial"/>
          <w:b/>
          <w:bCs/>
          <w:color w:val="000000"/>
          <w:sz w:val="22"/>
          <w:szCs w:val="22"/>
        </w:rPr>
        <w:t xml:space="preserve">6. ¿Cómo se consume la API?</w:t>
      </w:r>
    </w:p>
    <w:p>
      <w:pPr>
        <w:spacing w:after="120" w:line="276"/>
        <w:jc w:val="both"/>
      </w:pPr>
      <w:r>
        <w:rPr>
          <w:rFonts w:ascii="Arial" w:cs="Arial" w:eastAsia="Arial" w:hAnsi="Arial"/>
          <w:color w:val="000000"/>
          <w:sz w:val="22"/>
          <w:szCs w:val="22"/>
        </w:rPr>
        <w:t xml:space="preserve">Con una petición GET usando requests, validando el código 200 y convirtiendo el JSON en DataFrame.</w:t>
      </w:r>
    </w:p>
    <w:p>
      <w:pPr>
        <w:spacing w:after="120" w:line="276"/>
        <w:jc w:val="both"/>
      </w:pPr>
      <w:r>
        <w:rPr>
          <w:rFonts w:ascii="Arial" w:cs="Arial" w:eastAsia="Arial" w:hAnsi="Arial"/>
          <w:b/>
          <w:bCs/>
          <w:color w:val="000000"/>
          <w:sz w:val="22"/>
          <w:szCs w:val="22"/>
        </w:rPr>
        <w:t xml:space="preserve">7. ¿Por qué no sirve el promedio de precio_base?</w:t>
      </w:r>
    </w:p>
    <w:p>
      <w:pPr>
        <w:spacing w:after="120" w:line="276"/>
        <w:jc w:val="both"/>
      </w:pPr>
      <w:r>
        <w:rPr>
          <w:rFonts w:ascii="Arial" w:cs="Arial" w:eastAsia="Arial" w:hAnsi="Arial"/>
          <w:color w:val="000000"/>
          <w:sz w:val="22"/>
          <w:szCs w:val="22"/>
        </w:rPr>
        <w:t xml:space="preserve">Porque unos pocos contratos muy grandes lo inflan. La mediana, de 17,8 millones, representa mejor el contrato típico.</w:t>
      </w:r>
    </w:p>
    <w:p>
      <w:pPr>
        <w:spacing w:after="120" w:line="276"/>
        <w:jc w:val="both"/>
      </w:pPr>
      <w:r>
        <w:rPr>
          <w:rFonts w:ascii="Arial" w:cs="Arial" w:eastAsia="Arial" w:hAnsi="Arial"/>
          <w:b/>
          <w:bCs/>
          <w:color w:val="000000"/>
          <w:sz w:val="22"/>
          <w:szCs w:val="22"/>
        </w:rPr>
        <w:t xml:space="preserve">8. ¿Qué hace el .gitignore?</w:t>
      </w:r>
    </w:p>
    <w:p>
      <w:pPr>
        <w:spacing w:after="120" w:line="276"/>
        <w:jc w:val="both"/>
      </w:pPr>
      <w:r>
        <w:rPr>
          <w:rFonts w:ascii="Arial" w:cs="Arial" w:eastAsia="Arial" w:hAnsi="Arial"/>
          <w:color w:val="000000"/>
          <w:sz w:val="22"/>
          <w:szCs w:val="22"/>
        </w:rPr>
        <w:t xml:space="preserve">Evita subir a GitHub el entorno virtual, las credenciales del .env, los CSV y los logs, que se regeneran al ejecutar.</w:t>
      </w:r>
    </w:p>
    <w:p>
      <w:pPr>
        <w:spacing w:after="120" w:line="276"/>
        <w:jc w:val="both"/>
      </w:pPr>
      <w:r>
        <w:rPr>
          <w:rFonts w:ascii="Arial" w:cs="Arial" w:eastAsia="Arial" w:hAnsi="Arial"/>
          <w:b/>
          <w:bCs/>
          <w:color w:val="000000"/>
          <w:sz w:val="22"/>
          <w:szCs w:val="22"/>
        </w:rPr>
        <w:t xml:space="preserve">9. ¿Cómo se relaciona con el Avance 1?</w:t>
      </w:r>
    </w:p>
    <w:p>
      <w:pPr>
        <w:spacing w:after="120" w:line="276"/>
        <w:jc w:val="both"/>
      </w:pPr>
      <w:r>
        <w:rPr>
          <w:rFonts w:ascii="Arial" w:cs="Arial" w:eastAsia="Arial" w:hAnsi="Arial"/>
          <w:color w:val="000000"/>
          <w:sz w:val="22"/>
          <w:szCs w:val="22"/>
        </w:rPr>
        <w:t xml:space="preserve">Ataca la causa tecnológica del árbol de problemas y deja listas las llaves de cruce para integrar las demás entidades.</w:t>
      </w:r>
    </w:p>
    <w:p>
      <w:pPr>
        <w:spacing w:after="120" w:line="276"/>
        <w:jc w:val="both"/>
      </w:pPr>
      <w:r>
        <w:rPr>
          <w:rFonts w:ascii="Arial" w:cs="Arial" w:eastAsia="Arial" w:hAnsi="Arial"/>
          <w:b/>
          <w:bCs/>
          <w:color w:val="000000"/>
          <w:sz w:val="22"/>
          <w:szCs w:val="22"/>
        </w:rPr>
        <w:t xml:space="preserve">10. ¿Qué mejorarían?</w:t>
      </w:r>
    </w:p>
    <w:p>
      <w:pPr>
        <w:spacing w:after="120" w:line="276"/>
        <w:jc w:val="both"/>
      </w:pPr>
      <w:r>
        <w:rPr>
          <w:rFonts w:ascii="Arial" w:cs="Arial" w:eastAsia="Arial" w:hAnsi="Arial"/>
          <w:color w:val="000000"/>
          <w:sz w:val="22"/>
          <w:szCs w:val="22"/>
        </w:rPr>
        <w:t xml:space="preserve">Leer config.yaml, corregir las columnas clave de Silver, convertir fechas, registrar conteos en el log, agregar timeout y try/except, completar las pruebas, cargar Gold en una base de datos, integrar nuevas fuentes y automatizar la ejecución con schedule.</w:t>
      </w:r>
    </w:p>
    <w:p>
      <w:pPr>
        <w:spacing w:after="120" w:line="276"/>
        <w:jc w:val="both"/>
      </w:pPr>
      <w:r>
        <w:rPr>
          <w:rFonts w:ascii="Arial" w:cs="Arial" w:eastAsia="Arial" w:hAnsi="Arial"/>
          <w:color w:val="000000"/>
          <w:sz w:val="22"/>
          <w:szCs w:val="22"/>
        </w:rPr>
        <w:t xml:space="preserve">Nota: en main.py hay un comentario que indica que la automatización del log se hizo con ayuda de IA. El profesor puede preguntar cómo funciona; cualquiera de los integrantes debe poder explicar logging.basicConfig y los dos handlers con sus propias palabras.</w:t>
      </w:r>
    </w:p>
    <w:p>
      <w:pPr>
        <w:pStyle w:val="Heading1"/>
        <w:spacing w:after="160" w:before="320"/>
      </w:pPr>
      <w:r>
        <w:rPr>
          <w:rFonts w:ascii="Arial" w:cs="Arial" w:eastAsia="Arial" w:hAnsi="Arial"/>
          <w:b/>
          <w:bCs/>
          <w:color w:val="000000"/>
          <w:sz w:val="28"/>
          <w:szCs w:val="28"/>
        </w:rPr>
        <w:t xml:space="preserve">10. Próximos pasos (Corte 3)</w:t>
      </w:r>
    </w:p>
    <w:p>
      <w:pPr>
        <w:pStyle w:val="ListParagraph"/>
        <w:numPr>
          <w:ilvl w:val="0"/>
          <w:numId w:val="6"/>
        </w:numPr>
        <w:spacing w:after="80"/>
      </w:pPr>
      <w:r>
        <w:rPr>
          <w:rFonts w:ascii="Arial" w:cs="Arial" w:eastAsia="Arial" w:hAnsi="Arial"/>
          <w:color w:val="000000"/>
          <w:sz w:val="22"/>
          <w:szCs w:val="22"/>
        </w:rPr>
        <w:t xml:space="preserve">Corregir los puntos débiles de la sección 5.</w:t>
      </w:r>
    </w:p>
    <w:p>
      <w:pPr>
        <w:pStyle w:val="ListParagraph"/>
        <w:numPr>
          <w:ilvl w:val="0"/>
          <w:numId w:val="6"/>
        </w:numPr>
        <w:spacing w:after="80"/>
      </w:pPr>
      <w:r>
        <w:rPr>
          <w:rFonts w:ascii="Arial" w:cs="Arial" w:eastAsia="Arial" w:hAnsi="Arial"/>
          <w:color w:val="000000"/>
          <w:sz w:val="22"/>
          <w:szCs w:val="22"/>
        </w:rPr>
        <w:t xml:space="preserve">Ampliar la extracción de SECOP II y agregar el conjunto de contratos firmados.</w:t>
      </w:r>
    </w:p>
    <w:p>
      <w:pPr>
        <w:pStyle w:val="ListParagraph"/>
        <w:numPr>
          <w:ilvl w:val="0"/>
          <w:numId w:val="6"/>
        </w:numPr>
        <w:spacing w:after="80"/>
      </w:pPr>
      <w:r>
        <w:rPr>
          <w:rFonts w:ascii="Arial" w:cs="Arial" w:eastAsia="Arial" w:hAnsi="Arial"/>
          <w:color w:val="000000"/>
          <w:sz w:val="22"/>
          <w:szCs w:val="22"/>
        </w:rPr>
        <w:t xml:space="preserve">Integrar al menos una fuente de otra entidad de control (responsables fiscales o sanciones simuladas).</w:t>
      </w:r>
    </w:p>
    <w:p>
      <w:pPr>
        <w:pStyle w:val="ListParagraph"/>
        <w:numPr>
          <w:ilvl w:val="0"/>
          <w:numId w:val="6"/>
        </w:numPr>
        <w:spacing w:after="80"/>
      </w:pPr>
      <w:r>
        <w:rPr>
          <w:rFonts w:ascii="Arial" w:cs="Arial" w:eastAsia="Arial" w:hAnsi="Arial"/>
          <w:color w:val="000000"/>
          <w:sz w:val="22"/>
          <w:szCs w:val="22"/>
        </w:rPr>
        <w:t xml:space="preserve">Construir el cruce por NIT e ID del proceso para responder las preguntas estratégicas del Avance 1.</w:t>
      </w:r>
    </w:p>
    <w:p>
      <w:pPr>
        <w:pStyle w:val="ListParagraph"/>
        <w:numPr>
          <w:ilvl w:val="0"/>
          <w:numId w:val="6"/>
        </w:numPr>
        <w:spacing w:after="80"/>
      </w:pPr>
      <w:r>
        <w:rPr>
          <w:rFonts w:ascii="Arial" w:cs="Arial" w:eastAsia="Arial" w:hAnsi="Arial"/>
          <w:color w:val="000000"/>
          <w:sz w:val="22"/>
          <w:szCs w:val="22"/>
        </w:rPr>
        <w:t xml:space="preserve">Cargar la capa Gold en una base de datos y automatizar el refresco cada 24 o 48 horas.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2026-09-29T17:34:17.284Z</dcterms:created>
  <dcterms:modified xsi:type="dcterms:W3CDTF">2026-09-29T17:34:17.284Z</dcterms:modified>
</cp:coreProperties>
</file>

<file path=docProps/custom.xml><?xml version="1.0" encoding="utf-8"?>
<Properties xmlns="http://schemas.openxmlformats.org/officeDocument/2006/custom-properties" xmlns:vt="http://schemas.openxmlformats.org/officeDocument/2006/docPropsVTypes"/>
</file>