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COMPREHENSIVE REVIEW OF THE NIGERIAN TAX ACT 2025</w:t>
      </w:r>
    </w:p>
    <w:p>
      <w:pPr>
        <w:jc w:val="center"/>
      </w:pPr>
      <w:r>
        <w:t>A Complete Guide to Tax Compliance for Companies in Nigeria</w:t>
      </w:r>
    </w:p>
    <w:p>
      <w:pPr>
        <w:jc w:val="center"/>
      </w:pPr>
      <w:r>
        <w:t>Effective Date: January 1, 2026</w:t>
      </w:r>
    </w:p>
    <w:p/>
    <w:p>
      <w:pPr>
        <w:pStyle w:val="Heading1"/>
      </w:pPr>
      <w:r>
        <w:t>1. EXECUTIVE SUMMARY</w:t>
      </w:r>
    </w:p>
    <w:p>
      <w:r>
        <w:t>On June 26, 2025, President Bola Ahmed Tinubu signed the Nigeria Tax Act, 2025 into law, marking the most significant overhaul of Nigeria's tax framework in over three decades. The Act consolidates and repeals major tax legislation including the Companies Income Tax Act (CITA), Personal Income Tax Act (PITA), Petroleum Profits Tax Act (PPTA), Value Added Tax Act (VAT Act), Capital Gains Tax Act (CGT Act), and Stamp Duties Act (SDA).</w:t>
      </w:r>
    </w:p>
    <w:p>
      <w:r>
        <w:t>The key objectives of the reform include:</w:t>
      </w:r>
    </w:p>
    <w:p>
      <w:pPr>
        <w:pStyle w:val="ListBullet"/>
      </w:pPr>
      <w:r>
        <w:t>Streamlining tax compliance procedures</w:t>
      </w:r>
    </w:p>
    <w:p>
      <w:pPr>
        <w:pStyle w:val="ListBullet"/>
      </w:pPr>
      <w:r>
        <w:t>Broadening the tax base</w:t>
      </w:r>
    </w:p>
    <w:p>
      <w:pPr>
        <w:pStyle w:val="ListBullet"/>
      </w:pPr>
      <w:r>
        <w:t>Boosting government revenue</w:t>
      </w:r>
    </w:p>
    <w:p>
      <w:pPr>
        <w:pStyle w:val="ListBullet"/>
      </w:pPr>
      <w:r>
        <w:t>Supporting economic development</w:t>
      </w:r>
    </w:p>
    <w:p>
      <w:pPr>
        <w:pStyle w:val="ListBullet"/>
      </w:pPr>
      <w:r>
        <w:t>Eliminating overlapping sector-specific taxes</w:t>
      </w:r>
    </w:p>
    <w:p>
      <w:pPr>
        <w:pStyle w:val="ListBullet"/>
      </w:pPr>
      <w:r>
        <w:t>Modernizing tax administration through digitalization</w:t>
      </w:r>
    </w:p>
    <w:p>
      <w:pPr>
        <w:pStyle w:val="Heading1"/>
      </w:pPr>
      <w:r>
        <w:t>2. COMPANY INCOME TAX (CIT)</w:t>
      </w:r>
    </w:p>
    <w:p>
      <w:pPr>
        <w:pStyle w:val="Heading2"/>
      </w:pPr>
      <w:r>
        <w:t>2.1 Tax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Company Category</w:t>
            </w:r>
          </w:p>
        </w:tc>
        <w:tc>
          <w:tcPr>
            <w:tcW w:type="dxa" w:w="2880"/>
          </w:tcPr>
          <w:p>
            <w:r>
              <w:rPr>
                <w:b/>
              </w:rPr>
              <w:t>Criteria</w:t>
            </w:r>
          </w:p>
        </w:tc>
        <w:tc>
          <w:tcPr>
            <w:tcW w:type="dxa" w:w="2880"/>
          </w:tcPr>
          <w:p>
            <w:r>
              <w:rPr>
                <w:b/>
              </w:rPr>
              <w:t>Tax Rate</w:t>
            </w:r>
          </w:p>
        </w:tc>
      </w:tr>
      <w:tr>
        <w:tc>
          <w:tcPr>
            <w:tcW w:type="dxa" w:w="2880"/>
          </w:tcPr>
          <w:p>
            <w:r>
              <w:t>Small Companies</w:t>
            </w:r>
          </w:p>
        </w:tc>
        <w:tc>
          <w:tcPr>
            <w:tcW w:type="dxa" w:w="2880"/>
          </w:tcPr>
          <w:p>
            <w:r>
              <w:t>Turnover ≤ NGN 50 million AND Fixed Assets ≤ NGN 250 million</w:t>
            </w:r>
          </w:p>
        </w:tc>
        <w:tc>
          <w:tcPr>
            <w:tcW w:type="dxa" w:w="2880"/>
          </w:tcPr>
          <w:p>
            <w:r>
              <w:t>0%</w:t>
            </w:r>
          </w:p>
        </w:tc>
      </w:tr>
      <w:tr>
        <w:tc>
          <w:tcPr>
            <w:tcW w:type="dxa" w:w="2880"/>
          </w:tcPr>
          <w:p>
            <w:r>
              <w:t>Medium Companies</w:t>
            </w:r>
          </w:p>
        </w:tc>
        <w:tc>
          <w:tcPr>
            <w:tcW w:type="dxa" w:w="2880"/>
          </w:tcPr>
          <w:p>
            <w:r>
              <w:t>Turnover &gt; NGN 50 million to NGN 100 million</w:t>
            </w:r>
          </w:p>
        </w:tc>
        <w:tc>
          <w:tcPr>
            <w:tcW w:type="dxa" w:w="2880"/>
          </w:tcPr>
          <w:p>
            <w:r>
              <w:t>20%</w:t>
            </w:r>
          </w:p>
        </w:tc>
      </w:tr>
      <w:tr>
        <w:tc>
          <w:tcPr>
            <w:tcW w:type="dxa" w:w="2880"/>
          </w:tcPr>
          <w:p>
            <w:r>
              <w:t>Large Companies</w:t>
            </w:r>
          </w:p>
        </w:tc>
        <w:tc>
          <w:tcPr>
            <w:tcW w:type="dxa" w:w="2880"/>
          </w:tcPr>
          <w:p>
            <w:r>
              <w:t>Turnover &gt; NGN 100 million</w:t>
            </w:r>
          </w:p>
        </w:tc>
        <w:tc>
          <w:tcPr>
            <w:tcW w:type="dxa" w:w="2880"/>
          </w:tcPr>
          <w:p>
            <w:r>
              <w:t>30%</w:t>
            </w:r>
          </w:p>
        </w:tc>
      </w:tr>
    </w:tbl>
    <w:p/>
    <w:p>
      <w:pPr>
        <w:pStyle w:val="Heading2"/>
      </w:pPr>
      <w:r>
        <w:t>2.2 Taxable Income</w:t>
      </w:r>
    </w:p>
    <w:p>
      <w:r>
        <w:t>Companies are required to pay tax on the following income categories:</w:t>
      </w:r>
    </w:p>
    <w:p>
      <w:pPr>
        <w:pStyle w:val="ListBullet"/>
      </w:pPr>
      <w:r>
        <w:t>Profits or gains from trade, business, or profession</w:t>
      </w:r>
    </w:p>
    <w:p>
      <w:pPr>
        <w:pStyle w:val="ListBullet"/>
      </w:pPr>
      <w:r>
        <w:t>Rent or premium arising from property use</w:t>
      </w:r>
    </w:p>
    <w:p>
      <w:pPr>
        <w:pStyle w:val="ListBullet"/>
      </w:pPr>
      <w:r>
        <w:t>Dividends, interest, royalties, discounts, and fees</w:t>
      </w:r>
    </w:p>
    <w:p>
      <w:pPr>
        <w:pStyle w:val="ListBullet"/>
      </w:pPr>
      <w:r>
        <w:t>Income from digital services and virtual assets</w:t>
      </w:r>
    </w:p>
    <w:p>
      <w:pPr>
        <w:pStyle w:val="ListBullet"/>
      </w:pPr>
      <w:r>
        <w:t>Capital gains from asset disposals (except for small companies)</w:t>
      </w:r>
    </w:p>
    <w:p>
      <w:pPr>
        <w:pStyle w:val="ListBullet"/>
      </w:pPr>
      <w:r>
        <w:t>Income derived from Nigeria by non-resident companies</w:t>
      </w:r>
    </w:p>
    <w:p>
      <w:pPr>
        <w:pStyle w:val="ListBullet"/>
      </w:pPr>
      <w:r>
        <w:t>Undistributed profits of foreign-controlled companies (CFC rules)</w:t>
      </w:r>
    </w:p>
    <w:p>
      <w:pPr>
        <w:pStyle w:val="ListBullet"/>
      </w:pPr>
      <w:r>
        <w:t>Indirect share transfers of Nigerian assets</w:t>
      </w:r>
    </w:p>
    <w:p>
      <w:pPr>
        <w:pStyle w:val="Heading2"/>
      </w:pPr>
      <w:r>
        <w:t>2.3 Deductible Expenses</w:t>
      </w:r>
    </w:p>
    <w:p>
      <w:r>
        <w:t>The following expenses are deductible from assessable profits:</w:t>
      </w:r>
    </w:p>
    <w:p>
      <w:pPr>
        <w:pStyle w:val="ListBullet"/>
      </w:pPr>
      <w:r>
        <w:t>Expenses wholly, exclusively, and necessarily incurred for business purposes</w:t>
      </w:r>
    </w:p>
    <w:p>
      <w:pPr>
        <w:pStyle w:val="ListBullet"/>
      </w:pPr>
      <w:r>
        <w:t>Interest on borrowed capital (with limitations for connected parties)</w:t>
      </w:r>
    </w:p>
    <w:p>
      <w:pPr>
        <w:pStyle w:val="ListBullet"/>
      </w:pPr>
      <w:r>
        <w:t>Bad debts proven to be bad during the accounting period</w:t>
      </w:r>
    </w:p>
    <w:p>
      <w:pPr>
        <w:pStyle w:val="ListBullet"/>
      </w:pPr>
      <w:r>
        <w:t>Research and development expenses (capped at 5% of turnover)</w:t>
      </w:r>
    </w:p>
    <w:p>
      <w:pPr>
        <w:pStyle w:val="ListBullet"/>
      </w:pPr>
      <w:r>
        <w:t>Capital donations to approved institutions (limited to 10% of profit before tax)</w:t>
      </w:r>
    </w:p>
    <w:p>
      <w:pPr>
        <w:pStyle w:val="ListBullet"/>
      </w:pPr>
      <w:r>
        <w:t>Business expenses incurred up to 6 years before business commencement</w:t>
      </w:r>
    </w:p>
    <w:p>
      <w:pPr>
        <w:pStyle w:val="ListBullet"/>
      </w:pPr>
      <w:r>
        <w:t>Depreciation allowances on qualifying capital expenditure</w:t>
      </w:r>
    </w:p>
    <w:p>
      <w:pPr>
        <w:pStyle w:val="Heading2"/>
      </w:pPr>
      <w:r>
        <w:t>2.4 Non-Deductible Expenses</w:t>
      </w:r>
    </w:p>
    <w:p>
      <w:pPr>
        <w:pStyle w:val="ListBullet"/>
      </w:pPr>
      <w:r>
        <w:t>Capital expenditure (claimed as capital allowances instead)</w:t>
      </w:r>
    </w:p>
    <w:p>
      <w:pPr>
        <w:pStyle w:val="ListBullet"/>
      </w:pPr>
      <w:r>
        <w:t>Personal or domestic expenses</w:t>
      </w:r>
    </w:p>
    <w:p>
      <w:pPr>
        <w:pStyle w:val="ListBullet"/>
      </w:pPr>
      <w:r>
        <w:t>Taxes on profits or gains</w:t>
      </w:r>
    </w:p>
    <w:p>
      <w:pPr>
        <w:pStyle w:val="ListBullet"/>
      </w:pPr>
      <w:r>
        <w:t>Dividends or any profit distribution</w:t>
      </w:r>
    </w:p>
    <w:p>
      <w:pPr>
        <w:pStyle w:val="ListBullet"/>
      </w:pPr>
      <w:r>
        <w:t>Provisions for future liabilities</w:t>
      </w:r>
    </w:p>
    <w:p>
      <w:pPr>
        <w:pStyle w:val="ListBullet"/>
      </w:pPr>
      <w:r>
        <w:t>Bribes and illegal payments</w:t>
      </w:r>
    </w:p>
    <w:p>
      <w:pPr>
        <w:pStyle w:val="ListBullet"/>
      </w:pPr>
      <w:r>
        <w:t>Fines and penalties for breach of law</w:t>
      </w:r>
    </w:p>
    <w:p>
      <w:pPr>
        <w:pStyle w:val="Heading1"/>
      </w:pPr>
      <w:r>
        <w:t>3. VALUE ADDED TAX (VAT)</w:t>
      </w:r>
    </w:p>
    <w:p>
      <w:pPr>
        <w:pStyle w:val="Heading2"/>
      </w:pPr>
      <w:r>
        <w:t>3.1 VAT Rate</w:t>
      </w:r>
    </w:p>
    <w:p>
      <w:r>
        <w:t>The VAT rate remains at 7.5% for 2026. Despite earlier proposals to increase the rate to 15%, the current rate has been maintained to ease the transition to the new tax framework.</w:t>
      </w:r>
    </w:p>
    <w:p>
      <w:pPr>
        <w:pStyle w:val="Heading2"/>
      </w:pPr>
      <w:r>
        <w:t>3.2 VAT-Exempt Goods and Services</w:t>
      </w:r>
    </w:p>
    <w:p>
      <w:r>
        <w:t>The following goods and services are exempt from VAT (suppliers cannot charge VAT and cannot recover input VAT):</w:t>
      </w:r>
    </w:p>
    <w:p>
      <w:pPr>
        <w:pStyle w:val="ListBullet"/>
      </w:pPr>
      <w:r>
        <w:t>Basic foodstuffs (rice, yam, bread, etc.)</w:t>
      </w:r>
    </w:p>
    <w:p>
      <w:pPr>
        <w:pStyle w:val="ListBullet"/>
      </w:pPr>
      <w:r>
        <w:t>Medical and pharmaceutical products</w:t>
      </w:r>
    </w:p>
    <w:p>
      <w:pPr>
        <w:pStyle w:val="ListBullet"/>
      </w:pPr>
      <w:r>
        <w:t>Educational materials and tuition fees</w:t>
      </w:r>
    </w:p>
    <w:p>
      <w:pPr>
        <w:pStyle w:val="ListBullet"/>
      </w:pPr>
      <w:r>
        <w:t>Residential rent</w:t>
      </w:r>
    </w:p>
    <w:p>
      <w:pPr>
        <w:pStyle w:val="ListBullet"/>
      </w:pPr>
      <w:r>
        <w:t>Public transport fares</w:t>
      </w:r>
    </w:p>
    <w:p>
      <w:pPr>
        <w:pStyle w:val="ListBullet"/>
      </w:pPr>
      <w:r>
        <w:t>Agricultural equipment and inputs</w:t>
      </w:r>
    </w:p>
    <w:p>
      <w:pPr>
        <w:pStyle w:val="ListBullet"/>
      </w:pPr>
      <w:r>
        <w:t>Baby products (food, diapers, etc.)</w:t>
      </w:r>
    </w:p>
    <w:p>
      <w:pPr>
        <w:pStyle w:val="ListBullet"/>
      </w:pPr>
      <w:r>
        <w:t>Assistive devices for persons with disabilities</w:t>
      </w:r>
    </w:p>
    <w:p>
      <w:pPr>
        <w:pStyle w:val="ListBullet"/>
      </w:pPr>
      <w:r>
        <w:t>Humanitarian project goods</w:t>
      </w:r>
    </w:p>
    <w:p>
      <w:pPr>
        <w:pStyle w:val="ListBullet"/>
      </w:pPr>
      <w:r>
        <w:t>Supplies to Export Processing Zones and Free Trade Zones</w:t>
      </w:r>
    </w:p>
    <w:p>
      <w:pPr>
        <w:pStyle w:val="Heading2"/>
      </w:pPr>
      <w:r>
        <w:t>3.3 Zero-Rated Supplies</w:t>
      </w:r>
    </w:p>
    <w:p>
      <w:r>
        <w:t>Zero-rated supplies are subject to VAT at 0%, and suppliers can recover input VAT on related purchases:</w:t>
      </w:r>
    </w:p>
    <w:p>
      <w:pPr>
        <w:pStyle w:val="ListBullet"/>
      </w:pPr>
      <w:r>
        <w:t>Exports of goods and services</w:t>
      </w:r>
    </w:p>
    <w:p>
      <w:pPr>
        <w:pStyle w:val="ListBullet"/>
      </w:pPr>
      <w:r>
        <w:t>Basic food items (expanded list)</w:t>
      </w:r>
    </w:p>
    <w:p>
      <w:pPr>
        <w:pStyle w:val="ListBullet"/>
      </w:pPr>
      <w:r>
        <w:t>Medical products</w:t>
      </w:r>
    </w:p>
    <w:p>
      <w:pPr>
        <w:pStyle w:val="ListBullet"/>
      </w:pPr>
      <w:r>
        <w:t>Educational books and materials</w:t>
      </w:r>
    </w:p>
    <w:p>
      <w:pPr>
        <w:pStyle w:val="ListBullet"/>
      </w:pPr>
      <w:r>
        <w:t>Electricity generation and transmission services</w:t>
      </w:r>
    </w:p>
    <w:p>
      <w:pPr>
        <w:pStyle w:val="ListBullet"/>
      </w:pPr>
      <w:r>
        <w:t>Crude oil exports</w:t>
      </w:r>
    </w:p>
    <w:p>
      <w:pPr>
        <w:pStyle w:val="Heading2"/>
      </w:pPr>
      <w:r>
        <w:t>3.4 Input VAT Recovery</w:t>
      </w:r>
    </w:p>
    <w:p>
      <w:r>
        <w:t>Key provisions for input VAT recovery:</w:t>
      </w:r>
    </w:p>
    <w:p>
      <w:pPr>
        <w:pStyle w:val="ListBullet"/>
      </w:pPr>
      <w:r>
        <w:t>Registered taxpayers can claim input VAT on taxable supplies including fixed assets</w:t>
      </w:r>
    </w:p>
    <w:p>
      <w:pPr>
        <w:pStyle w:val="ListBullet"/>
      </w:pPr>
      <w:r>
        <w:t>Input VAT on mixed supplies may be claimed in proportion to taxable use</w:t>
      </w:r>
    </w:p>
    <w:p>
      <w:pPr>
        <w:pStyle w:val="ListBullet"/>
      </w:pPr>
      <w:r>
        <w:t>Claims must be made no later than 5 years from incurrence</w:t>
      </w:r>
    </w:p>
    <w:p>
      <w:pPr>
        <w:pStyle w:val="ListBullet"/>
      </w:pPr>
      <w:r>
        <w:t>Refunds for excess input VAT must be claimed within 12 months</w:t>
      </w:r>
    </w:p>
    <w:p>
      <w:pPr>
        <w:pStyle w:val="ListBullet"/>
      </w:pPr>
      <w:r>
        <w:t>Nigeria Revenue Service (NRS) must process refund claims within 30 days</w:t>
      </w:r>
    </w:p>
    <w:p>
      <w:pPr>
        <w:pStyle w:val="Heading1"/>
      </w:pPr>
      <w:r>
        <w:t>4. CAPITAL GAINS TAX (CGT)</w:t>
      </w:r>
    </w:p>
    <w:p>
      <w:pPr>
        <w:pStyle w:val="Heading2"/>
      </w:pPr>
      <w:r>
        <w:t>4.1 Tax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Taxpayer Category</w:t>
            </w:r>
          </w:p>
        </w:tc>
        <w:tc>
          <w:tcPr>
            <w:tcW w:type="dxa" w:w="2880"/>
          </w:tcPr>
          <w:p>
            <w:r>
              <w:rPr>
                <w:b/>
              </w:rPr>
              <w:t>Threshold</w:t>
            </w:r>
          </w:p>
        </w:tc>
        <w:tc>
          <w:tcPr>
            <w:tcW w:type="dxa" w:w="2880"/>
          </w:tcPr>
          <w:p>
            <w:r>
              <w:rPr>
                <w:b/>
              </w:rPr>
              <w:t>Tax Rate</w:t>
            </w:r>
          </w:p>
        </w:tc>
      </w:tr>
      <w:tr>
        <w:tc>
          <w:tcPr>
            <w:tcW w:type="dxa" w:w="2880"/>
          </w:tcPr>
          <w:p>
            <w:r>
              <w:t>Companies (General)</w:t>
            </w:r>
          </w:p>
        </w:tc>
        <w:tc>
          <w:tcPr>
            <w:tcW w:type="dxa" w:w="2880"/>
          </w:tcPr>
          <w:p>
            <w:r>
              <w:t>Asset sales &gt; NGN 150 million OR gains &gt; NGN 10 million</w:t>
            </w:r>
          </w:p>
        </w:tc>
        <w:tc>
          <w:tcPr>
            <w:tcW w:type="dxa" w:w="2880"/>
          </w:tcPr>
          <w:p>
            <w:r>
              <w:t>30%</w:t>
            </w:r>
          </w:p>
        </w:tc>
      </w:tr>
      <w:tr>
        <w:tc>
          <w:tcPr>
            <w:tcW w:type="dxa" w:w="2880"/>
          </w:tcPr>
          <w:p>
            <w:r>
              <w:t>Small Companies</w:t>
            </w:r>
          </w:p>
        </w:tc>
        <w:tc>
          <w:tcPr>
            <w:tcW w:type="dxa" w:w="2880"/>
          </w:tcPr>
          <w:p>
            <w:r>
              <w:t>Meet small company criteria</w:t>
            </w:r>
          </w:p>
        </w:tc>
        <w:tc>
          <w:tcPr>
            <w:tcW w:type="dxa" w:w="2880"/>
          </w:tcPr>
          <w:p>
            <w:r>
              <w:t>0%</w:t>
            </w:r>
          </w:p>
        </w:tc>
      </w:tr>
      <w:tr>
        <w:tc>
          <w:tcPr>
            <w:tcW w:type="dxa" w:w="2880"/>
          </w:tcPr>
          <w:p>
            <w:r>
              <w:t>Individuals</w:t>
            </w:r>
          </w:p>
        </w:tc>
        <w:tc>
          <w:tcPr>
            <w:tcW w:type="dxa" w:w="2880"/>
          </w:tcPr>
          <w:p>
            <w:r>
              <w:t>Capital gains from asset disposal</w:t>
            </w:r>
          </w:p>
        </w:tc>
        <w:tc>
          <w:tcPr>
            <w:tcW w:type="dxa" w:w="2880"/>
          </w:tcPr>
          <w:p>
            <w:r>
              <w:t>Up to 25%</w:t>
            </w:r>
          </w:p>
        </w:tc>
      </w:tr>
    </w:tbl>
    <w:p/>
    <w:p>
      <w:pPr>
        <w:pStyle w:val="Heading2"/>
      </w:pPr>
      <w:r>
        <w:t>4.2 CGT Exemptions</w:t>
      </w:r>
    </w:p>
    <w:p>
      <w:pPr>
        <w:pStyle w:val="ListBullet"/>
      </w:pPr>
      <w:r>
        <w:t>Disposal of private residence (main home)</w:t>
      </w:r>
    </w:p>
    <w:p>
      <w:pPr>
        <w:pStyle w:val="ListBullet"/>
      </w:pPr>
      <w:r>
        <w:t>Low-value chattels</w:t>
      </w:r>
    </w:p>
    <w:p>
      <w:pPr>
        <w:pStyle w:val="ListBullet"/>
      </w:pPr>
      <w:r>
        <w:t>Up to two personal vehicles</w:t>
      </w:r>
    </w:p>
    <w:p>
      <w:pPr>
        <w:pStyle w:val="ListBullet"/>
      </w:pPr>
      <w:r>
        <w:t>Government bond income and gains</w:t>
      </w:r>
    </w:p>
    <w:p>
      <w:pPr>
        <w:pStyle w:val="ListBullet"/>
      </w:pPr>
      <w:r>
        <w:t>Loss-of-employment compensation (up to NGN 50 million)</w:t>
      </w:r>
    </w:p>
    <w:p>
      <w:pPr>
        <w:pStyle w:val="ListBullet"/>
      </w:pPr>
      <w:r>
        <w:t>Asset disposals by angel investors in startups (held for more than 24 months)</w:t>
      </w:r>
    </w:p>
    <w:p>
      <w:pPr>
        <w:pStyle w:val="ListBullet"/>
      </w:pPr>
      <w:r>
        <w:t>Gains reinvested in similar assets within 12 months (rollover relief)</w:t>
      </w:r>
    </w:p>
    <w:p>
      <w:pPr>
        <w:pStyle w:val="Heading1"/>
      </w:pPr>
      <w:r>
        <w:t>5. DEVELOPMENT LEVY</w:t>
      </w:r>
    </w:p>
    <w:p>
      <w:r>
        <w:t>A new Development Levy of 4% on assessable profits replaces several overlapping sector-specific taxes:</w:t>
      </w:r>
    </w:p>
    <w:p>
      <w:pPr>
        <w:pStyle w:val="ListBullet"/>
      </w:pPr>
      <w:r>
        <w:t>Tertiary Education Tax (TET) - formerly 3%</w:t>
      </w:r>
    </w:p>
    <w:p>
      <w:pPr>
        <w:pStyle w:val="ListBullet"/>
      </w:pPr>
      <w:r>
        <w:t>NASENI Levy</w:t>
      </w:r>
    </w:p>
    <w:p>
      <w:pPr>
        <w:pStyle w:val="ListBullet"/>
      </w:pPr>
      <w:r>
        <w:t>IT Levy</w:t>
      </w:r>
    </w:p>
    <w:p>
      <w:pPr>
        <w:pStyle w:val="ListBullet"/>
      </w:pPr>
      <w:r>
        <w:t>Police Trust Fund Levy</w:t>
      </w:r>
    </w:p>
    <w:p/>
    <w:p>
      <w:r>
        <w:t>Note: Small companies and non-resident companies are exempt from the Development Levy.</w:t>
      </w:r>
    </w:p>
    <w:p>
      <w:pPr>
        <w:pStyle w:val="Heading1"/>
      </w:pPr>
      <w:r>
        <w:t>6. STAMP DUTIES</w:t>
      </w:r>
    </w:p>
    <w:p>
      <w:r>
        <w:t>Key provisions:</w:t>
      </w:r>
    </w:p>
    <w:p>
      <w:pPr>
        <w:pStyle w:val="ListBullet"/>
      </w:pPr>
      <w:r>
        <w:t>All instruments must be stamped within 30 days of execution</w:t>
      </w:r>
    </w:p>
    <w:p>
      <w:pPr>
        <w:pStyle w:val="ListBullet"/>
      </w:pPr>
      <w:r>
        <w:t>Electronic stamping is now mandatory</w:t>
      </w:r>
    </w:p>
    <w:p>
      <w:pPr>
        <w:pStyle w:val="ListBullet"/>
      </w:pPr>
      <w:r>
        <w:t>Unstamped instruments are inadmissible as evidence in court</w:t>
      </w:r>
    </w:p>
    <w:p>
      <w:pPr>
        <w:pStyle w:val="ListBullet"/>
      </w:pPr>
      <w:r>
        <w:t>Rates vary based on instrument type and value</w:t>
      </w:r>
    </w:p>
    <w:p>
      <w:pPr>
        <w:pStyle w:val="ListBullet"/>
      </w:pPr>
      <w:r>
        <w:t>Electronic transactions are subject to stamp duties</w:t>
      </w:r>
    </w:p>
    <w:p>
      <w:pPr>
        <w:pStyle w:val="Heading1"/>
      </w:pPr>
      <w:r>
        <w:t>7. WITHHOLDING TAX (WHT)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Payment Type</w:t>
            </w:r>
          </w:p>
        </w:tc>
        <w:tc>
          <w:tcPr>
            <w:tcW w:type="dxa" w:w="2880"/>
          </w:tcPr>
          <w:p>
            <w:r>
              <w:rPr>
                <w:b/>
              </w:rPr>
              <w:t>Companies</w:t>
            </w:r>
          </w:p>
        </w:tc>
        <w:tc>
          <w:tcPr>
            <w:tcW w:type="dxa" w:w="2880"/>
          </w:tcPr>
          <w:p>
            <w:r>
              <w:rPr>
                <w:b/>
              </w:rPr>
              <w:t>Individuals</w:t>
            </w:r>
          </w:p>
        </w:tc>
      </w:tr>
      <w:tr>
        <w:tc>
          <w:tcPr>
            <w:tcW w:type="dxa" w:w="2880"/>
          </w:tcPr>
          <w:p>
            <w:r>
              <w:t>Dividends</w:t>
            </w:r>
          </w:p>
        </w:tc>
        <w:tc>
          <w:tcPr>
            <w:tcW w:type="dxa" w:w="2880"/>
          </w:tcPr>
          <w:p>
            <w:r>
              <w:t>10%</w:t>
            </w:r>
          </w:p>
        </w:tc>
        <w:tc>
          <w:tcPr>
            <w:tcW w:type="dxa" w:w="2880"/>
          </w:tcPr>
          <w:p>
            <w:r>
              <w:t>10%</w:t>
            </w:r>
          </w:p>
        </w:tc>
      </w:tr>
      <w:tr>
        <w:tc>
          <w:tcPr>
            <w:tcW w:type="dxa" w:w="2880"/>
          </w:tcPr>
          <w:p>
            <w:r>
              <w:t>Interest</w:t>
            </w:r>
          </w:p>
        </w:tc>
        <w:tc>
          <w:tcPr>
            <w:tcW w:type="dxa" w:w="2880"/>
          </w:tcPr>
          <w:p>
            <w:r>
              <w:t>10%</w:t>
            </w:r>
          </w:p>
        </w:tc>
        <w:tc>
          <w:tcPr>
            <w:tcW w:type="dxa" w:w="2880"/>
          </w:tcPr>
          <w:p>
            <w:r>
              <w:t>10%</w:t>
            </w:r>
          </w:p>
        </w:tc>
      </w:tr>
      <w:tr>
        <w:tc>
          <w:tcPr>
            <w:tcW w:type="dxa" w:w="2880"/>
          </w:tcPr>
          <w:p>
            <w:r>
              <w:t>Rent</w:t>
            </w:r>
          </w:p>
        </w:tc>
        <w:tc>
          <w:tcPr>
            <w:tcW w:type="dxa" w:w="2880"/>
          </w:tcPr>
          <w:p>
            <w:r>
              <w:t>10%</w:t>
            </w:r>
          </w:p>
        </w:tc>
        <w:tc>
          <w:tcPr>
            <w:tcW w:type="dxa" w:w="2880"/>
          </w:tcPr>
          <w:p>
            <w:r>
              <w:t>10%</w:t>
            </w:r>
          </w:p>
        </w:tc>
      </w:tr>
      <w:tr>
        <w:tc>
          <w:tcPr>
            <w:tcW w:type="dxa" w:w="2880"/>
          </w:tcPr>
          <w:p>
            <w:r>
              <w:t>Royalties</w:t>
            </w:r>
          </w:p>
        </w:tc>
        <w:tc>
          <w:tcPr>
            <w:tcW w:type="dxa" w:w="2880"/>
          </w:tcPr>
          <w:p>
            <w:r>
              <w:t>10%</w:t>
            </w:r>
          </w:p>
        </w:tc>
        <w:tc>
          <w:tcPr>
            <w:tcW w:type="dxa" w:w="2880"/>
          </w:tcPr>
          <w:p>
            <w:r>
              <w:t>10%</w:t>
            </w:r>
          </w:p>
        </w:tc>
      </w:tr>
      <w:tr>
        <w:tc>
          <w:tcPr>
            <w:tcW w:type="dxa" w:w="2880"/>
          </w:tcPr>
          <w:p>
            <w:r>
              <w:t>Commissions</w:t>
            </w:r>
          </w:p>
        </w:tc>
        <w:tc>
          <w:tcPr>
            <w:tcW w:type="dxa" w:w="2880"/>
          </w:tcPr>
          <w:p>
            <w:r>
              <w:t>10%</w:t>
            </w:r>
          </w:p>
        </w:tc>
        <w:tc>
          <w:tcPr>
            <w:tcW w:type="dxa" w:w="2880"/>
          </w:tcPr>
          <w:p>
            <w:r>
              <w:t>5%</w:t>
            </w:r>
          </w:p>
        </w:tc>
      </w:tr>
      <w:tr>
        <w:tc>
          <w:tcPr>
            <w:tcW w:type="dxa" w:w="2880"/>
          </w:tcPr>
          <w:p>
            <w:r>
              <w:t>Consultancy/Professional Fees</w:t>
            </w:r>
          </w:p>
        </w:tc>
        <w:tc>
          <w:tcPr>
            <w:tcW w:type="dxa" w:w="2880"/>
          </w:tcPr>
          <w:p>
            <w:r>
              <w:t>10%</w:t>
            </w:r>
          </w:p>
        </w:tc>
        <w:tc>
          <w:tcPr>
            <w:tcW w:type="dxa" w:w="2880"/>
          </w:tcPr>
          <w:p>
            <w:r>
              <w:t>5%</w:t>
            </w:r>
          </w:p>
        </w:tc>
      </w:tr>
      <w:tr>
        <w:tc>
          <w:tcPr>
            <w:tcW w:type="dxa" w:w="2880"/>
          </w:tcPr>
          <w:p>
            <w:r>
              <w:t>Technical Fees</w:t>
            </w:r>
          </w:p>
        </w:tc>
        <w:tc>
          <w:tcPr>
            <w:tcW w:type="dxa" w:w="2880"/>
          </w:tcPr>
          <w:p>
            <w:r>
              <w:t>10%</w:t>
            </w:r>
          </w:p>
        </w:tc>
        <w:tc>
          <w:tcPr>
            <w:tcW w:type="dxa" w:w="2880"/>
          </w:tcPr>
          <w:p>
            <w:r>
              <w:t>5%</w:t>
            </w:r>
          </w:p>
        </w:tc>
      </w:tr>
      <w:tr>
        <w:tc>
          <w:tcPr>
            <w:tcW w:type="dxa" w:w="2880"/>
          </w:tcPr>
          <w:p>
            <w:r>
              <w:t>Construction/Building</w:t>
            </w:r>
          </w:p>
        </w:tc>
        <w:tc>
          <w:tcPr>
            <w:tcW w:type="dxa" w:w="2880"/>
          </w:tcPr>
          <w:p>
            <w:r>
              <w:t>5%</w:t>
            </w:r>
          </w:p>
        </w:tc>
        <w:tc>
          <w:tcPr>
            <w:tcW w:type="dxa" w:w="2880"/>
          </w:tcPr>
          <w:p>
            <w:r>
              <w:t>5%</w:t>
            </w:r>
          </w:p>
        </w:tc>
      </w:tr>
    </w:tbl>
    <w:p/>
    <w:p>
      <w:pPr>
        <w:pStyle w:val="Heading1"/>
      </w:pPr>
      <w:r>
        <w:t>8. TAX EXEMPTIONS AND RELIEFS</w:t>
      </w:r>
    </w:p>
    <w:p>
      <w:pPr>
        <w:pStyle w:val="Heading2"/>
      </w:pPr>
      <w:r>
        <w:t>8.1 Company Exemptions</w:t>
      </w:r>
    </w:p>
    <w:p>
      <w:pPr>
        <w:pStyle w:val="ListBullet"/>
      </w:pPr>
      <w:r>
        <w:t>Small companies (turnover ≤ NGN 50m, fixed assets ≤ NGN 250m) - exempt from CIT, CGT, and Development Levy</w:t>
      </w:r>
    </w:p>
    <w:p>
      <w:pPr>
        <w:pStyle w:val="ListBullet"/>
      </w:pPr>
      <w:r>
        <w:t>Agricultural businesses - first 5 years of operation exempt</w:t>
      </w:r>
    </w:p>
    <w:p>
      <w:pPr>
        <w:pStyle w:val="ListBullet"/>
      </w:pPr>
      <w:r>
        <w:t>Public educational institutions - fully exempt</w:t>
      </w:r>
    </w:p>
    <w:p>
      <w:pPr>
        <w:pStyle w:val="ListBullet"/>
      </w:pPr>
      <w:r>
        <w:t>Charitable and religious organizations - exempt on non-commercial income</w:t>
      </w:r>
    </w:p>
    <w:p>
      <w:pPr>
        <w:pStyle w:val="ListBullet"/>
      </w:pPr>
      <w:r>
        <w:t>Free Zone entities with exports exceeding 75% of sales - 100% exemption</w:t>
      </w:r>
    </w:p>
    <w:p>
      <w:pPr>
        <w:pStyle w:val="ListBullet"/>
      </w:pPr>
      <w:r>
        <w:t>Economic Development Incentive (EDI) - 5% tax credit per annum for 5 years on qualifying capital expenditure</w:t>
      </w:r>
    </w:p>
    <w:p>
      <w:pPr>
        <w:pStyle w:val="Heading2"/>
      </w:pPr>
      <w:r>
        <w:t>8.2 Important Exclusion</w:t>
      </w:r>
    </w:p>
    <w:p>
      <w:r>
        <w:t>Note: Professional service companies are NOT eligible for small company exemptions, regardless of whether they meet the financial thresholds. This includes law firms, accounting firms, consulting firms, medical practices, and similar professional entities.</w:t>
      </w:r>
    </w:p>
    <w:p>
      <w:pPr>
        <w:pStyle w:val="Heading1"/>
      </w:pPr>
      <w:r>
        <w:t>9. TAX PAYMENT TIMELINES</w:t>
      </w:r>
    </w:p>
    <w:p>
      <w:pPr>
        <w:pStyle w:val="Heading2"/>
      </w:pPr>
      <w:r>
        <w:t>9.1 Company Income Tax</w:t>
      </w:r>
    </w:p>
    <w:p>
      <w:pPr>
        <w:pStyle w:val="ListBullet"/>
      </w:pPr>
      <w:r>
        <w:t>Annual returns: Within 6 months from end of accounting year</w:t>
      </w:r>
    </w:p>
    <w:p>
      <w:pPr>
        <w:pStyle w:val="ListBullet"/>
      </w:pPr>
      <w:r>
        <w:t>Newly incorporated companies: Within 18 months from incorporation OR 6 months after accounting period end (whichever is earlier)</w:t>
      </w:r>
    </w:p>
    <w:p>
      <w:pPr>
        <w:pStyle w:val="ListBullet"/>
      </w:pPr>
      <w:r>
        <w:t>From 2026: Monthly installment payments of estimated tax (no longer annual lump sum)</w:t>
      </w:r>
    </w:p>
    <w:p>
      <w:pPr>
        <w:pStyle w:val="ListBullet"/>
      </w:pPr>
      <w:r>
        <w:t>Self-assessment returns: Due with payment</w:t>
      </w:r>
    </w:p>
    <w:p>
      <w:pPr>
        <w:pStyle w:val="Heading2"/>
      </w:pPr>
      <w:r>
        <w:t>9.2 VAT</w:t>
      </w:r>
    </w:p>
    <w:p>
      <w:pPr>
        <w:pStyle w:val="ListBullet"/>
      </w:pPr>
      <w:r>
        <w:t>Monthly filing: On or before 21st of the following month</w:t>
      </w:r>
    </w:p>
    <w:p>
      <w:pPr>
        <w:pStyle w:val="ListBullet"/>
      </w:pPr>
      <w:r>
        <w:t>VAT invoice requirements: Must include business registration number and sequential numbering</w:t>
      </w:r>
    </w:p>
    <w:p>
      <w:pPr>
        <w:pStyle w:val="ListBullet"/>
      </w:pPr>
      <w:r>
        <w:t>Input VAT claims: Within 5 years of incurrence</w:t>
      </w:r>
    </w:p>
    <w:p>
      <w:pPr>
        <w:pStyle w:val="ListBullet"/>
      </w:pPr>
      <w:r>
        <w:t>Refund claims: Within 12 months of excess credit</w:t>
      </w:r>
    </w:p>
    <w:p>
      <w:pPr>
        <w:pStyle w:val="Heading2"/>
      </w:pPr>
      <w:r>
        <w:t>9.3 PAYE (Pay-As-You-Earn)</w:t>
      </w:r>
    </w:p>
    <w:p>
      <w:pPr>
        <w:pStyle w:val="ListBullet"/>
      </w:pPr>
      <w:r>
        <w:t>Monthly remittance: On or before 10th of the following month</w:t>
      </w:r>
    </w:p>
    <w:p>
      <w:pPr>
        <w:pStyle w:val="ListBullet"/>
      </w:pPr>
      <w:r>
        <w:t>Annual reconciliation: Within 31 days after year end</w:t>
      </w:r>
    </w:p>
    <w:p>
      <w:pPr>
        <w:pStyle w:val="ListBullet"/>
      </w:pPr>
      <w:r>
        <w:t>Employee tax deduction cards: Must be provided to employees</w:t>
      </w:r>
    </w:p>
    <w:p>
      <w:pPr>
        <w:pStyle w:val="Heading2"/>
      </w:pPr>
      <w:r>
        <w:t>9.4 Withholding Tax</w:t>
      </w:r>
    </w:p>
    <w:p>
      <w:pPr>
        <w:pStyle w:val="ListBullet"/>
      </w:pPr>
      <w:r>
        <w:t>Monthly remittance: Within 21 days after deduction month</w:t>
      </w:r>
    </w:p>
    <w:p>
      <w:pPr>
        <w:pStyle w:val="ListBullet"/>
      </w:pPr>
      <w:r>
        <w:t>Annual returns: Within 30 days after year end</w:t>
      </w:r>
    </w:p>
    <w:p>
      <w:pPr>
        <w:pStyle w:val="ListBullet"/>
      </w:pPr>
      <w:r>
        <w:t>WHT credit notes must be issued to payees</w:t>
      </w:r>
    </w:p>
    <w:p>
      <w:pPr>
        <w:pStyle w:val="Heading2"/>
      </w:pPr>
      <w:r>
        <w:t>9.5 Stamp Duties</w:t>
      </w:r>
    </w:p>
    <w:p>
      <w:pPr>
        <w:pStyle w:val="ListBullet"/>
      </w:pPr>
      <w:r>
        <w:t>Stamping deadline: Within 30 days of document execution</w:t>
      </w:r>
    </w:p>
    <w:p>
      <w:pPr>
        <w:pStyle w:val="ListBullet"/>
      </w:pPr>
      <w:r>
        <w:t>Electronic stamping: Mandatory for all instruments</w:t>
      </w:r>
    </w:p>
    <w:p>
      <w:pPr>
        <w:pStyle w:val="ListBullet"/>
      </w:pPr>
      <w:r>
        <w:t>Late stamping penalty: Up to 10x the duty payable</w:t>
      </w:r>
    </w:p>
    <w:p>
      <w:pPr>
        <w:pStyle w:val="Heading1"/>
      </w:pPr>
      <w:r>
        <w:t>10. PENALTIES AND INTEREST</w:t>
      </w:r>
    </w:p>
    <w:tbl>
      <w:tblPr>
        <w:tblStyle w:val="TableGrid"/>
        <w:tblW w:type="auto" w:w="0"/>
        <w:tblLook w:firstColumn="1" w:firstRow="1" w:lastColumn="0" w:lastRow="0" w:noHBand="0" w:noVBand="1" w:val="04A0"/>
      </w:tblPr>
      <w:tblGrid>
        <w:gridCol w:w="4320"/>
        <w:gridCol w:w="4320"/>
      </w:tblGrid>
      <w:tr>
        <w:tc>
          <w:tcPr>
            <w:tcW w:type="dxa" w:w="4320"/>
          </w:tcPr>
          <w:p>
            <w:r>
              <w:rPr>
                <w:b/>
              </w:rPr>
              <w:t>Offense</w:t>
            </w:r>
          </w:p>
        </w:tc>
        <w:tc>
          <w:tcPr>
            <w:tcW w:type="dxa" w:w="4320"/>
          </w:tcPr>
          <w:p>
            <w:r>
              <w:rPr>
                <w:b/>
              </w:rPr>
              <w:t>Penalty</w:t>
            </w:r>
          </w:p>
        </w:tc>
      </w:tr>
      <w:tr>
        <w:tc>
          <w:tcPr>
            <w:tcW w:type="dxa" w:w="4320"/>
          </w:tcPr>
          <w:p>
            <w:r>
              <w:t>Late filing of returns</w:t>
            </w:r>
          </w:p>
        </w:tc>
        <w:tc>
          <w:tcPr>
            <w:tcW w:type="dxa" w:w="4320"/>
          </w:tcPr>
          <w:p>
            <w:r>
              <w:t>NGN 50,000 per month (first month) + NGN 25,000 per subsequent month</w:t>
            </w:r>
          </w:p>
        </w:tc>
      </w:tr>
      <w:tr>
        <w:tc>
          <w:tcPr>
            <w:tcW w:type="dxa" w:w="4320"/>
          </w:tcPr>
          <w:p>
            <w:r>
              <w:t>Failure to deduct/remit WHT</w:t>
            </w:r>
          </w:p>
        </w:tc>
        <w:tc>
          <w:tcPr>
            <w:tcW w:type="dxa" w:w="4320"/>
          </w:tcPr>
          <w:p>
            <w:r>
              <w:t>Penalty + Interest at prevailing Central Bank rate</w:t>
            </w:r>
          </w:p>
        </w:tc>
      </w:tr>
      <w:tr>
        <w:tc>
          <w:tcPr>
            <w:tcW w:type="dxa" w:w="4320"/>
          </w:tcPr>
          <w:p>
            <w:r>
              <w:t>Late payment of tax</w:t>
            </w:r>
          </w:p>
        </w:tc>
        <w:tc>
          <w:tcPr>
            <w:tcW w:type="dxa" w:w="4320"/>
          </w:tcPr>
          <w:p>
            <w:r>
              <w:t>Interest at CBN rate + 2% per annum</w:t>
            </w:r>
          </w:p>
        </w:tc>
      </w:tr>
      <w:tr>
        <w:tc>
          <w:tcPr>
            <w:tcW w:type="dxa" w:w="4320"/>
          </w:tcPr>
          <w:p>
            <w:r>
              <w:t>Failure to register for VAT</w:t>
            </w:r>
          </w:p>
        </w:tc>
        <w:tc>
          <w:tcPr>
            <w:tcW w:type="dxa" w:w="4320"/>
          </w:tcPr>
          <w:p>
            <w:r>
              <w:t>NGN 50,000 for first month + NGN 25,000 per subsequent month</w:t>
            </w:r>
          </w:p>
        </w:tc>
      </w:tr>
      <w:tr>
        <w:tc>
          <w:tcPr>
            <w:tcW w:type="dxa" w:w="4320"/>
          </w:tcPr>
          <w:p>
            <w:r>
              <w:t>Non-issuance of VAT invoice</w:t>
            </w:r>
          </w:p>
        </w:tc>
        <w:tc>
          <w:tcPr>
            <w:tcW w:type="dxa" w:w="4320"/>
          </w:tcPr>
          <w:p>
            <w:r>
              <w:t>50% of tax not charged</w:t>
            </w:r>
          </w:p>
        </w:tc>
      </w:tr>
      <w:tr>
        <w:tc>
          <w:tcPr>
            <w:tcW w:type="dxa" w:w="4320"/>
          </w:tcPr>
          <w:p>
            <w:r>
              <w:t>Tax evasion</w:t>
            </w:r>
          </w:p>
        </w:tc>
        <w:tc>
          <w:tcPr>
            <w:tcW w:type="dxa" w:w="4320"/>
          </w:tcPr>
          <w:p>
            <w:r>
              <w:t>Criminal prosecution + fines + imprisonment</w:t>
            </w:r>
          </w:p>
        </w:tc>
      </w:tr>
    </w:tbl>
    <w:p/>
    <w:p>
      <w:pPr>
        <w:pStyle w:val="Heading1"/>
      </w:pPr>
      <w:r>
        <w:t>11. COMPLIANCE REQUIREMENTS</w:t>
      </w:r>
    </w:p>
    <w:p>
      <w:pPr>
        <w:pStyle w:val="Heading2"/>
      </w:pPr>
      <w:r>
        <w:t>11.1 Registration Requirements</w:t>
      </w:r>
    </w:p>
    <w:p>
      <w:pPr>
        <w:pStyle w:val="ListBullet"/>
      </w:pPr>
      <w:r>
        <w:t>Tax registration with NRS (formerly FIRS) immediately after CAC incorporation</w:t>
      </w:r>
    </w:p>
    <w:p>
      <w:pPr>
        <w:pStyle w:val="ListBullet"/>
      </w:pPr>
      <w:r>
        <w:t>VAT registration for businesses making taxable supplies</w:t>
      </w:r>
    </w:p>
    <w:p>
      <w:pPr>
        <w:pStyle w:val="ListBullet"/>
      </w:pPr>
      <w:r>
        <w:t>PAYE registration for employers with employees</w:t>
      </w:r>
    </w:p>
    <w:p>
      <w:pPr>
        <w:pStyle w:val="ListBullet"/>
      </w:pPr>
      <w:r>
        <w:t>Partnerships must register within 30 days of formation</w:t>
      </w:r>
    </w:p>
    <w:p>
      <w:pPr>
        <w:pStyle w:val="Heading2"/>
      </w:pPr>
      <w:r>
        <w:t>11.2 Record Keeping</w:t>
      </w:r>
    </w:p>
    <w:p>
      <w:pPr>
        <w:pStyle w:val="ListBullet"/>
      </w:pPr>
      <w:r>
        <w:t>Maintain books of accounts for at least 6 years</w:t>
      </w:r>
    </w:p>
    <w:p>
      <w:pPr>
        <w:pStyle w:val="ListBullet"/>
      </w:pPr>
      <w:r>
        <w:t>Keep all tax records, receipts, and supporting documents</w:t>
      </w:r>
    </w:p>
    <w:p>
      <w:pPr>
        <w:pStyle w:val="ListBullet"/>
      </w:pPr>
      <w:r>
        <w:t>Maintain employee payroll records</w:t>
      </w:r>
    </w:p>
    <w:p>
      <w:pPr>
        <w:pStyle w:val="ListBullet"/>
      </w:pPr>
      <w:r>
        <w:t>Preserve VAT invoices and receipts</w:t>
      </w:r>
    </w:p>
    <w:p>
      <w:pPr>
        <w:pStyle w:val="Heading2"/>
      </w:pPr>
      <w:r>
        <w:t>11.3 Digital Compliance</w:t>
      </w:r>
    </w:p>
    <w:p>
      <w:pPr>
        <w:pStyle w:val="ListBullet"/>
      </w:pPr>
      <w:r>
        <w:t>Mandatory e-filing through TaxPro-Max platform</w:t>
      </w:r>
    </w:p>
    <w:p>
      <w:pPr>
        <w:pStyle w:val="ListBullet"/>
      </w:pPr>
      <w:r>
        <w:t>VAT fiscalization system and e-invoicing via Merchant Buyer Solution (MBS)</w:t>
      </w:r>
    </w:p>
    <w:p>
      <w:pPr>
        <w:pStyle w:val="ListBullet"/>
      </w:pPr>
      <w:r>
        <w:t>Real-time validation of VAT invoices</w:t>
      </w:r>
    </w:p>
    <w:p>
      <w:pPr>
        <w:pStyle w:val="ListBullet"/>
      </w:pPr>
      <w:r>
        <w:t>Electronic stamping for all instruments</w:t>
      </w:r>
    </w:p>
    <w:p>
      <w:pPr>
        <w:pStyle w:val="Heading1"/>
      </w:pPr>
      <w:r>
        <w:t>12. SPECIAL PROVISIONS</w:t>
      </w:r>
    </w:p>
    <w:p>
      <w:pPr>
        <w:pStyle w:val="Heading2"/>
      </w:pPr>
      <w:r>
        <w:t>12.1 Digital Services and Non-Residents</w:t>
      </w:r>
    </w:p>
    <w:p>
      <w:pPr>
        <w:pStyle w:val="ListBullet"/>
      </w:pPr>
      <w:r>
        <w:t>Non-resident persons supplying taxable goods/services in Nigeria must register for VAT</w:t>
      </w:r>
    </w:p>
    <w:p>
      <w:pPr>
        <w:pStyle w:val="ListBullet"/>
      </w:pPr>
      <w:r>
        <w:t>Digital platforms must collect VAT on full supply value</w:t>
      </w:r>
    </w:p>
    <w:p>
      <w:pPr>
        <w:pStyle w:val="ListBullet"/>
      </w:pPr>
      <w:r>
        <w:t>Streaming subscriptions, digital advertisements, and cloud services are VAT-taxable</w:t>
      </w:r>
    </w:p>
    <w:p>
      <w:pPr>
        <w:pStyle w:val="ListBullet"/>
      </w:pPr>
      <w:r>
        <w:t>Minimum tax for non-resident companies: WHT deducted OR 4% flat rate on Nigerian-source income</w:t>
      </w:r>
    </w:p>
    <w:p>
      <w:pPr>
        <w:pStyle w:val="Heading2"/>
      </w:pPr>
      <w:r>
        <w:t>12.2 Controlled Foreign Company (CFC) Rules</w:t>
      </w:r>
    </w:p>
    <w:p>
      <w:pPr>
        <w:pStyle w:val="ListBullet"/>
      </w:pPr>
      <w:r>
        <w:t>Nigerian parent companies with foreign subsidiaries below 15% effective tax rate are subject to top-up tax</w:t>
      </w:r>
    </w:p>
    <w:p>
      <w:pPr>
        <w:pStyle w:val="ListBullet"/>
      </w:pPr>
      <w:r>
        <w:t>Minimum effective tax rate (ETR) of 15% for MNE groups</w:t>
      </w:r>
    </w:p>
    <w:p>
      <w:pPr>
        <w:pStyle w:val="ListBullet"/>
      </w:pPr>
      <w:r>
        <w:t>Companies with NGN 20 billion+ turnover subject to minimum ETR requirements</w:t>
      </w:r>
    </w:p>
    <w:p>
      <w:pPr>
        <w:pStyle w:val="Heading2"/>
      </w:pPr>
      <w:r>
        <w:t>12.3 Transfer Pricing</w:t>
      </w:r>
    </w:p>
    <w:p>
      <w:pPr>
        <w:pStyle w:val="ListBullet"/>
      </w:pPr>
      <w:r>
        <w:t>Arm's length principle applies to all connected-party transactions</w:t>
      </w:r>
    </w:p>
    <w:p>
      <w:pPr>
        <w:pStyle w:val="ListBullet"/>
      </w:pPr>
      <w:r>
        <w:t>Transfer pricing returns required for applicable transactions</w:t>
      </w:r>
    </w:p>
    <w:p>
      <w:pPr>
        <w:pStyle w:val="ListBullet"/>
      </w:pPr>
      <w:r>
        <w:t>Documentation requirements for intercompany transactions</w:t>
      </w:r>
    </w:p>
    <w:p>
      <w:pPr>
        <w:pStyle w:val="ListBullet"/>
      </w:pPr>
      <w:r>
        <w:t>Advance pricing agreements available</w:t>
      </w:r>
    </w:p>
    <w:p>
      <w:pPr>
        <w:pStyle w:val="Heading1"/>
      </w:pPr>
      <w:r>
        <w:t>13. CONCLUSION AND RECOMMENDATIONS</w:t>
      </w:r>
    </w:p>
    <w:p>
      <w:r>
        <w:t>Companies should take the following steps to ensure compliance:</w:t>
      </w:r>
    </w:p>
    <w:p>
      <w:pPr>
        <w:pStyle w:val="ListBullet"/>
      </w:pPr>
      <w:r>
        <w:t>Review your company's tax structure and classification (small, medium, or large)</w:t>
      </w:r>
    </w:p>
    <w:p>
      <w:pPr>
        <w:pStyle w:val="ListBullet"/>
      </w:pPr>
      <w:r>
        <w:t>Update your accounting and compliance systems for monthly tax payments</w:t>
      </w:r>
    </w:p>
    <w:p>
      <w:pPr>
        <w:pStyle w:val="ListBullet"/>
      </w:pPr>
      <w:r>
        <w:t>Ensure VAT registration and proper invoice numbering systems</w:t>
      </w:r>
    </w:p>
    <w:p>
      <w:pPr>
        <w:pStyle w:val="ListBullet"/>
      </w:pPr>
      <w:r>
        <w:t>Review connected-party transactions for transfer pricing compliance</w:t>
      </w:r>
    </w:p>
    <w:p>
      <w:pPr>
        <w:pStyle w:val="ListBullet"/>
      </w:pPr>
      <w:r>
        <w:t>Update employee payroll systems for PAYE compliance</w:t>
      </w:r>
    </w:p>
    <w:p>
      <w:pPr>
        <w:pStyle w:val="ListBullet"/>
      </w:pPr>
      <w:r>
        <w:t>Implement e-invoicing and fiscalization systems before the deadline</w:t>
      </w:r>
    </w:p>
    <w:p>
      <w:pPr>
        <w:pStyle w:val="ListBullet"/>
      </w:pPr>
      <w:r>
        <w:t>Train finance and accounting staff on new requirements</w:t>
      </w:r>
    </w:p>
    <w:p>
      <w:pPr>
        <w:pStyle w:val="ListBullet"/>
      </w:pPr>
      <w:r>
        <w:t>Engage tax advisors for complex transactions and planning</w:t>
      </w:r>
    </w:p>
    <w:p/>
    <w:p>
      <w:r>
        <w:t>This document was prepared as a general guide and should not be used as a substitute for professional tax advice. Companies are encouraged to consult with qualified tax professionals for specific guidance on their circumstances.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