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Review of the Nigerian Tax Act 2025</w:t>
      </w:r>
    </w:p>
    <w:p>
      <w:pPr>
        <w:jc w:val="center"/>
      </w:pPr>
      <w:r>
        <w:rPr>
          <w:i/>
        </w:rPr>
        <w:t>Effective January 1, 2026</w:t>
      </w:r>
    </w:p>
    <w:p/>
    <w:p>
      <w:pPr>
        <w:pStyle w:val="Heading1"/>
      </w:pPr>
      <w:r>
        <w:t>Table of Contents</w:t>
      </w:r>
    </w:p>
    <w:p>
      <w:pPr>
        <w:pStyle w:val="ListBullet"/>
      </w:pPr>
      <w:r>
        <w:t>1. Executive Summary</w:t>
      </w:r>
    </w:p>
    <w:p>
      <w:pPr>
        <w:pStyle w:val="ListBullet"/>
      </w:pPr>
      <w:r>
        <w:t>2. Background and Legislative Framework</w:t>
      </w:r>
    </w:p>
    <w:p>
      <w:pPr>
        <w:pStyle w:val="ListBullet"/>
      </w:pPr>
      <w:r>
        <w:t>3. Company Income Tax (CIT)</w:t>
      </w:r>
    </w:p>
    <w:p>
      <w:pPr>
        <w:pStyle w:val="ListBullet"/>
      </w:pPr>
      <w:r>
        <w:t>4. Value Added Tax (VAT)</w:t>
      </w:r>
    </w:p>
    <w:p>
      <w:pPr>
        <w:pStyle w:val="ListBullet"/>
      </w:pPr>
      <w:r>
        <w:t>5. Capital Gains Tax (CGT)</w:t>
      </w:r>
    </w:p>
    <w:p>
      <w:pPr>
        <w:pStyle w:val="ListBullet"/>
      </w:pPr>
      <w:r>
        <w:t>6. Withholding Tax (WHT)</w:t>
      </w:r>
    </w:p>
    <w:p>
      <w:pPr>
        <w:pStyle w:val="ListBullet"/>
      </w:pPr>
      <w:r>
        <w:t>7. Stamp Duties</w:t>
      </w:r>
    </w:p>
    <w:p>
      <w:pPr>
        <w:pStyle w:val="ListBullet"/>
      </w:pPr>
      <w:r>
        <w:t>8. Personal Income Tax (PIT)</w:t>
      </w:r>
    </w:p>
    <w:p>
      <w:pPr>
        <w:pStyle w:val="ListBullet"/>
      </w:pPr>
      <w:r>
        <w:t>9. Development Levy</w:t>
      </w:r>
    </w:p>
    <w:p>
      <w:pPr>
        <w:pStyle w:val="ListBullet"/>
      </w:pPr>
      <w:r>
        <w:t>10. Tertiary Education Tax</w:t>
      </w:r>
    </w:p>
    <w:p>
      <w:pPr>
        <w:pStyle w:val="ListBullet"/>
      </w:pPr>
      <w:r>
        <w:t>11. Tax Exemptions and Incentives</w:t>
      </w:r>
    </w:p>
    <w:p>
      <w:pPr>
        <w:pStyle w:val="ListBullet"/>
      </w:pPr>
      <w:r>
        <w:t>12. Filing Deadlines and Payment Timelines</w:t>
      </w:r>
    </w:p>
    <w:p>
      <w:pPr>
        <w:pStyle w:val="ListBullet"/>
      </w:pPr>
      <w:r>
        <w:t>13. Penalties for Non-Compliance</w:t>
      </w:r>
    </w:p>
    <w:p>
      <w:pPr>
        <w:pStyle w:val="ListBullet"/>
      </w:pPr>
      <w:r>
        <w:t>14. Conclusion</w:t>
      </w:r>
    </w:p>
    <w:p>
      <w:r>
        <w:br w:type="page"/>
      </w:r>
    </w:p>
    <w:p>
      <w:pPr>
        <w:pStyle w:val="Heading1"/>
      </w:pPr>
      <w:r>
        <w:t>1. Executive Summary</w:t>
      </w:r>
    </w:p>
    <w:p>
      <w:r>
        <w:t>On June 26, 2025, President Bola Ahmed Tinubu signed four Tax Reform Bills into law, marking the most significant overhaul of Nigeria's tax framework in decades. These laws include:</w:t>
      </w:r>
    </w:p>
    <w:p>
      <w:pPr>
        <w:pStyle w:val="ListBullet"/>
      </w:pPr>
      <w:r>
        <w:t>The Nigeria Tax Act (NTA)</w:t>
      </w:r>
    </w:p>
    <w:p>
      <w:pPr>
        <w:pStyle w:val="ListBullet"/>
      </w:pPr>
      <w:r>
        <w:t>The Nigeria Tax Administration Act (NTAA)</w:t>
      </w:r>
    </w:p>
    <w:p>
      <w:pPr>
        <w:pStyle w:val="ListBullet"/>
      </w:pPr>
      <w:r>
        <w:t>The Nigeria Revenue Service Act (NRSA)</w:t>
      </w:r>
    </w:p>
    <w:p>
      <w:pPr>
        <w:pStyle w:val="ListBullet"/>
      </w:pPr>
      <w:r>
        <w:t>The Joint Revenue Board Act (JRBA)</w:t>
      </w:r>
    </w:p>
    <w:p>
      <w:r>
        <w:t>The NTA consolidates and replaces several major tax laws including the Companies Income Tax Act, Personal Income Tax Act, Petroleum Profits Tax Act, Value Added Tax Act, Capital Gains Tax Act, and Stamp Duties Act into a unified, modernized regime. All provisions became effective on January 1, 2026.</w:t>
      </w:r>
    </w:p>
    <w:p>
      <w:pPr>
        <w:pStyle w:val="Heading1"/>
      </w:pPr>
      <w:r>
        <w:t>2. Background and Legislative Framework</w:t>
      </w:r>
    </w:p>
    <w:p>
      <w:r>
        <w:t>The Nigeria Tax Act 2025 represents a comprehensive reform aimed at:</w:t>
      </w:r>
    </w:p>
    <w:p>
      <w:pPr>
        <w:pStyle w:val="ListBullet"/>
      </w:pPr>
      <w:r>
        <w:t>Streamlining tax compliance for businesses and individuals</w:t>
      </w:r>
    </w:p>
    <w:p>
      <w:pPr>
        <w:pStyle w:val="ListBullet"/>
      </w:pPr>
      <w:r>
        <w:t>Broadening the tax base to improve revenue generation</w:t>
      </w:r>
    </w:p>
    <w:p>
      <w:pPr>
        <w:pStyle w:val="ListBullet"/>
      </w:pPr>
      <w:r>
        <w:t>Eliminating multiple taxation and administrative inefficiencies</w:t>
      </w:r>
    </w:p>
    <w:p>
      <w:pPr>
        <w:pStyle w:val="ListBullet"/>
      </w:pPr>
      <w:r>
        <w:t>Aligning Nigeria's tax system with international best practices</w:t>
      </w:r>
    </w:p>
    <w:p>
      <w:pPr>
        <w:pStyle w:val="ListBullet"/>
      </w:pPr>
      <w:r>
        <w:t>Supporting economic development through targeted incentives</w:t>
      </w:r>
    </w:p>
    <w:p>
      <w:r>
        <w:t>The previous tax framework consisted of multiple separate laws, each with different administrative requirements, filing deadlines, and enforcement mechanisms. The NTA consolidates these into a single unified statute, administered primarily by the Nigeria Revenue Service (NRS), which succeeds the Federal Inland Revenue Service (FIRS).</w:t>
      </w:r>
    </w:p>
    <w:p>
      <w:pPr>
        <w:pStyle w:val="Heading1"/>
      </w:pPr>
      <w:r>
        <w:t>3. Company Income Tax (CIT)</w:t>
      </w:r>
    </w:p>
    <w:p>
      <w:pPr>
        <w:pStyle w:val="Heading2"/>
      </w:pPr>
      <w:r>
        <w:t>3.1 Overview</w:t>
      </w:r>
    </w:p>
    <w:p>
      <w:r>
        <w:t>Company Income Tax is imposed on the profits of all companies operating in Nigeria, whether incorporated in Nigeria or earning income from Nigerian sources. The tax applies to all profits, gains, and income from business activities.</w:t>
      </w:r>
    </w:p>
    <w:p>
      <w:pPr>
        <w:pStyle w:val="Heading2"/>
      </w:pPr>
      <w:r>
        <w:t>3.2 Tax Rates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Company Category</w:t>
            </w:r>
          </w:p>
        </w:tc>
        <w:tc>
          <w:tcPr>
            <w:tcW w:type="dxa" w:w="2880"/>
          </w:tcPr>
          <w:p>
            <w:r>
              <w:rPr>
                <w:b/>
              </w:rPr>
              <w:t>Annual Turnover</w:t>
            </w:r>
          </w:p>
        </w:tc>
        <w:tc>
          <w:tcPr>
            <w:tcW w:type="dxa" w:w="2880"/>
          </w:tcPr>
          <w:p>
            <w:r>
              <w:rPr>
                <w:b/>
              </w:rPr>
              <w:t>CIT Rate</w:t>
            </w:r>
          </w:p>
        </w:tc>
      </w:tr>
      <w:tr>
        <w:tc>
          <w:tcPr>
            <w:tcW w:type="dxa" w:w="2880"/>
          </w:tcPr>
          <w:p>
            <w:r>
              <w:t>Small Companies</w:t>
            </w:r>
          </w:p>
        </w:tc>
        <w:tc>
          <w:tcPr>
            <w:tcW w:type="dxa" w:w="2880"/>
          </w:tcPr>
          <w:p>
            <w:r>
              <w:t>≤ ₦100 million</w:t>
            </w:r>
          </w:p>
        </w:tc>
        <w:tc>
          <w:tcPr>
            <w:tcW w:type="dxa" w:w="2880"/>
          </w:tcPr>
          <w:p>
            <w:r>
              <w:t>0% (Exempt)</w:t>
            </w:r>
          </w:p>
        </w:tc>
      </w:tr>
      <w:tr>
        <w:tc>
          <w:tcPr>
            <w:tcW w:type="dxa" w:w="2880"/>
          </w:tcPr>
          <w:p>
            <w:r>
              <w:t>Medium Companies</w:t>
            </w:r>
          </w:p>
        </w:tc>
        <w:tc>
          <w:tcPr>
            <w:tcW w:type="dxa" w:w="2880"/>
          </w:tcPr>
          <w:p>
            <w:r>
              <w:t>&gt; ₦100 million - ₦500 million</w:t>
            </w:r>
          </w:p>
        </w:tc>
        <w:tc>
          <w:tcPr>
            <w:tcW w:type="dxa" w:w="2880"/>
          </w:tcPr>
          <w:p>
            <w:r>
              <w:t>20%</w:t>
            </w:r>
          </w:p>
        </w:tc>
      </w:tr>
      <w:tr>
        <w:tc>
          <w:tcPr>
            <w:tcW w:type="dxa" w:w="2880"/>
          </w:tcPr>
          <w:p>
            <w:r>
              <w:t>Large Companies</w:t>
            </w:r>
          </w:p>
        </w:tc>
        <w:tc>
          <w:tcPr>
            <w:tcW w:type="dxa" w:w="2880"/>
          </w:tcPr>
          <w:p>
            <w:r>
              <w:t>&gt; ₦500 million</w:t>
            </w:r>
          </w:p>
        </w:tc>
        <w:tc>
          <w:tcPr>
            <w:tcW w:type="dxa" w:w="2880"/>
          </w:tcPr>
          <w:p>
            <w:r>
              <w:t>30%</w:t>
            </w:r>
          </w:p>
        </w:tc>
      </w:tr>
    </w:tbl>
    <w:p/>
    <w:p>
      <w:pPr>
        <w:pStyle w:val="Heading2"/>
      </w:pPr>
      <w:r>
        <w:t>3.3 Small Company Definition</w:t>
      </w:r>
    </w:p>
    <w:p>
      <w:r>
        <w:t>A company qualifies as "small" if it meets BOTH of the following criteria:</w:t>
      </w:r>
    </w:p>
    <w:p>
      <w:pPr>
        <w:pStyle w:val="ListBullet"/>
      </w:pPr>
      <w:r>
        <w:t>Annual gross turnover of ₦100 million or less (increased from the previous ₦25 million threshold)</w:t>
      </w:r>
    </w:p>
    <w:p>
      <w:pPr>
        <w:pStyle w:val="ListBullet"/>
      </w:pPr>
      <w:r>
        <w:t>Total fixed assets not exceeding ₦250 million</w:t>
      </w:r>
    </w:p>
    <w:p>
      <w:pPr>
        <w:pStyle w:val="Heading2"/>
      </w:pPr>
      <w:r>
        <w:t>3.4 Taxable Income</w:t>
      </w:r>
    </w:p>
    <w:p>
      <w:r>
        <w:t>The following types of income are subject to CIT:</w:t>
      </w:r>
    </w:p>
    <w:p>
      <w:pPr>
        <w:pStyle w:val="ListBullet"/>
      </w:pPr>
      <w:r>
        <w:t>Profits from trade or business activities</w:t>
      </w:r>
    </w:p>
    <w:p>
      <w:pPr>
        <w:pStyle w:val="ListBullet"/>
      </w:pPr>
      <w:r>
        <w:t>Income from professional services</w:t>
      </w:r>
    </w:p>
    <w:p>
      <w:pPr>
        <w:pStyle w:val="ListBullet"/>
      </w:pPr>
      <w:r>
        <w:t>Rental income from property</w:t>
      </w:r>
    </w:p>
    <w:p>
      <w:pPr>
        <w:pStyle w:val="ListBullet"/>
      </w:pPr>
      <w:r>
        <w:t>Dividends received from investments</w:t>
      </w:r>
    </w:p>
    <w:p>
      <w:pPr>
        <w:pStyle w:val="ListBullet"/>
      </w:pPr>
      <w:r>
        <w:t>Interest income</w:t>
      </w:r>
    </w:p>
    <w:p>
      <w:pPr>
        <w:pStyle w:val="ListBullet"/>
      </w:pPr>
      <w:r>
        <w:t>Royalties and licensing fees</w:t>
      </w:r>
    </w:p>
    <w:p>
      <w:pPr>
        <w:pStyle w:val="ListBullet"/>
      </w:pPr>
      <w:r>
        <w:t>Capital gains (now taxed at CIT rates)</w:t>
      </w:r>
    </w:p>
    <w:p>
      <w:pPr>
        <w:pStyle w:val="Heading2"/>
      </w:pPr>
      <w:r>
        <w:t>3.5 Deductible Expenses</w:t>
      </w:r>
    </w:p>
    <w:p>
      <w:r>
        <w:t>Companies can deduct the following expenses when computing taxable profits:</w:t>
      </w:r>
    </w:p>
    <w:p>
      <w:pPr>
        <w:pStyle w:val="ListBullet"/>
      </w:pPr>
      <w:r>
        <w:t>Expenses wholly, exclusively, reasonably, and necessarily incurred for the purpose of generating income</w:t>
      </w:r>
    </w:p>
    <w:p>
      <w:pPr>
        <w:pStyle w:val="ListBullet"/>
      </w:pPr>
      <w:r>
        <w:t>Interest expenses on loans used for business purposes (subject to 30% of EBITDA limitation for intercompany loans)</w:t>
      </w:r>
    </w:p>
    <w:p>
      <w:pPr>
        <w:pStyle w:val="ListBullet"/>
      </w:pPr>
      <w:r>
        <w:t>Depreciation/capital allowances on qualifying capital expenditure</w:t>
      </w:r>
    </w:p>
    <w:p>
      <w:pPr>
        <w:pStyle w:val="ListBullet"/>
      </w:pPr>
      <w:r>
        <w:t>Contributions to approved pension schemes</w:t>
      </w:r>
    </w:p>
    <w:p>
      <w:pPr>
        <w:pStyle w:val="ListBullet"/>
      </w:pPr>
      <w:r>
        <w:t>Bad debts (specific provisions only)</w:t>
      </w:r>
    </w:p>
    <w:p>
      <w:pPr>
        <w:pStyle w:val="ListBullet"/>
      </w:pPr>
      <w:r>
        <w:t>Research and development costs</w:t>
      </w:r>
    </w:p>
    <w:p>
      <w:pPr>
        <w:pStyle w:val="Heading1"/>
      </w:pPr>
      <w:r>
        <w:t>4. Value Added Tax (VAT)</w:t>
      </w:r>
    </w:p>
    <w:p>
      <w:pPr>
        <w:pStyle w:val="Heading2"/>
      </w:pPr>
      <w:r>
        <w:t>4.1 Overview</w:t>
      </w:r>
    </w:p>
    <w:p>
      <w:r>
        <w:t>VAT is a consumption tax levied on the supply of goods and services in Nigeria. It is collected by suppliers and remitted to the tax authority.</w:t>
      </w:r>
    </w:p>
    <w:p>
      <w:pPr>
        <w:pStyle w:val="Heading2"/>
      </w:pPr>
      <w:r>
        <w:t>4.2 VAT Rate</w:t>
      </w:r>
    </w:p>
    <w:p>
      <w:r>
        <w:t>The standard VAT rate remains at 7.5%. Despite early discussions about a potential rate increase, the NTA maintained the existing rate to support economic stability.</w:t>
      </w:r>
    </w:p>
    <w:p>
      <w:pPr>
        <w:pStyle w:val="Heading2"/>
      </w:pPr>
      <w:r>
        <w:t>4.3 VAT Categories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Rate</w:t>
            </w:r>
          </w:p>
        </w:tc>
        <w:tc>
          <w:tcPr>
            <w:tcW w:type="dxa" w:w="2880"/>
          </w:tcPr>
          <w:p>
            <w:r>
              <w:rPr>
                <w:b/>
              </w:rPr>
              <w:t>Items/Services</w:t>
            </w:r>
          </w:p>
        </w:tc>
      </w:tr>
      <w:tr>
        <w:tc>
          <w:tcPr>
            <w:tcW w:type="dxa" w:w="2880"/>
          </w:tcPr>
          <w:p>
            <w:r>
              <w:t>Standard Rate</w:t>
            </w:r>
          </w:p>
        </w:tc>
        <w:tc>
          <w:tcPr>
            <w:tcW w:type="dxa" w:w="2880"/>
          </w:tcPr>
          <w:p>
            <w:r>
              <w:t>7.5%</w:t>
            </w:r>
          </w:p>
        </w:tc>
        <w:tc>
          <w:tcPr>
            <w:tcW w:type="dxa" w:w="2880"/>
          </w:tcPr>
          <w:p>
            <w:r>
              <w:t>Most goods and services not otherwise exempted or zero-rated</w:t>
            </w:r>
          </w:p>
        </w:tc>
      </w:tr>
      <w:tr>
        <w:tc>
          <w:tcPr>
            <w:tcW w:type="dxa" w:w="2880"/>
          </w:tcPr>
          <w:p>
            <w:r>
              <w:t>Zero-Rated</w:t>
            </w:r>
          </w:p>
        </w:tc>
        <w:tc>
          <w:tcPr>
            <w:tcW w:type="dxa" w:w="2880"/>
          </w:tcPr>
          <w:p>
            <w:r>
              <w:t>0%</w:t>
            </w:r>
          </w:p>
        </w:tc>
        <w:tc>
          <w:tcPr>
            <w:tcW w:type="dxa" w:w="2880"/>
          </w:tcPr>
          <w:p>
            <w:r>
              <w:t>Basic food items, medical products, pharmaceuticals, educational materials, medical services, education services</w:t>
            </w:r>
          </w:p>
        </w:tc>
      </w:tr>
      <w:tr>
        <w:tc>
          <w:tcPr>
            <w:tcW w:type="dxa" w:w="2880"/>
          </w:tcPr>
          <w:p>
            <w:r>
              <w:t>Exempt</w:t>
            </w:r>
          </w:p>
        </w:tc>
        <w:tc>
          <w:tcPr>
            <w:tcW w:type="dxa" w:w="2880"/>
          </w:tcPr>
          <w:p>
            <w:r>
              <w:t>N/A</w:t>
            </w:r>
          </w:p>
        </w:tc>
        <w:tc>
          <w:tcPr>
            <w:tcW w:type="dxa" w:w="2880"/>
          </w:tcPr>
          <w:p>
            <w:r>
              <w:t>Exported goods, diplomatic purchases, rent for residential accommodation</w:t>
            </w:r>
          </w:p>
        </w:tc>
      </w:tr>
    </w:tbl>
    <w:p/>
    <w:p>
      <w:pPr>
        <w:pStyle w:val="Heading2"/>
      </w:pPr>
      <w:r>
        <w:t>4.4 Key VAT Changes Under NTA</w:t>
      </w:r>
    </w:p>
    <w:p>
      <w:pPr>
        <w:pStyle w:val="ListBullet"/>
      </w:pPr>
      <w:r>
        <w:t>Input VAT Recovery: Businesses can now claim input VAT on both services and capital assets (fixed assets), a major change from previous laws that only allowed recovery for goods/materials used for production or resale</w:t>
      </w:r>
    </w:p>
    <w:p>
      <w:pPr>
        <w:pStyle w:val="ListBullet"/>
      </w:pPr>
      <w:r>
        <w:t>E-Invoicing Requirement: All VAT-registered businesses must adopt FIRS-sanctioned e-invoicing systems</w:t>
      </w:r>
    </w:p>
    <w:p>
      <w:pPr>
        <w:pStyle w:val="ListBullet"/>
      </w:pPr>
      <w:r>
        <w:t>Digital Platform Obligations: Digital platforms earning commissions must collect VAT on the full supply value</w:t>
      </w:r>
    </w:p>
    <w:p>
      <w:pPr>
        <w:pStyle w:val="ListBullet"/>
      </w:pPr>
      <w:r>
        <w:t>Non-Resident Registration: Non-resident persons supplying taxable goods/services in Nigeria must register for VAT</w:t>
      </w:r>
    </w:p>
    <w:p>
      <w:pPr>
        <w:pStyle w:val="Heading2"/>
      </w:pPr>
      <w:r>
        <w:t>4.5 VAT-Exempt/Zero-Rated Items (Detailed)</w:t>
      </w:r>
    </w:p>
    <w:p>
      <w:pPr>
        <w:pStyle w:val="ListBullet"/>
      </w:pPr>
      <w:r>
        <w:t>Basic food items (rice, flour, cooking oil, cereals, livestock produce, staple foods)</w:t>
      </w:r>
    </w:p>
    <w:p>
      <w:pPr>
        <w:pStyle w:val="ListBullet"/>
      </w:pPr>
      <w:r>
        <w:t>All medical and pharmaceutical products (excluding cosmetology and fitness devices)</w:t>
      </w:r>
    </w:p>
    <w:p>
      <w:pPr>
        <w:pStyle w:val="ListBullet"/>
      </w:pPr>
      <w:r>
        <w:t>Medical services</w:t>
      </w:r>
    </w:p>
    <w:p>
      <w:pPr>
        <w:pStyle w:val="ListBullet"/>
      </w:pPr>
      <w:r>
        <w:t>Tuition for nursery through tertiary education</w:t>
      </w:r>
    </w:p>
    <w:p>
      <w:pPr>
        <w:pStyle w:val="ListBullet"/>
      </w:pPr>
      <w:r>
        <w:t>Educational books and materials</w:t>
      </w:r>
    </w:p>
    <w:p>
      <w:pPr>
        <w:pStyle w:val="ListBullet"/>
      </w:pPr>
      <w:r>
        <w:t>Medical equipment</w:t>
      </w:r>
    </w:p>
    <w:p>
      <w:pPr>
        <w:pStyle w:val="ListBullet"/>
      </w:pPr>
      <w:r>
        <w:t>Animal feeds and fertilizers</w:t>
      </w:r>
    </w:p>
    <w:p>
      <w:pPr>
        <w:pStyle w:val="ListBullet"/>
      </w:pPr>
      <w:r>
        <w:t>Exported goods and services</w:t>
      </w:r>
    </w:p>
    <w:p>
      <w:pPr>
        <w:pStyle w:val="Heading1"/>
      </w:pPr>
      <w:r>
        <w:t>5. Capital Gains Tax (CGT)</w:t>
      </w:r>
    </w:p>
    <w:p>
      <w:pPr>
        <w:pStyle w:val="Heading2"/>
      </w:pPr>
      <w:r>
        <w:t>5.1 Overview</w:t>
      </w:r>
    </w:p>
    <w:p>
      <w:r>
        <w:t>Capital Gains Tax is imposed on gains arising from the disposal of chargeable assets.</w:t>
      </w:r>
    </w:p>
    <w:p>
      <w:pPr>
        <w:pStyle w:val="Heading2"/>
      </w:pPr>
      <w:r>
        <w:t>5.2 CGT Rates</w:t>
      </w:r>
    </w:p>
    <w:tbl>
      <w:tblPr>
        <w:tblStyle w:val="TableGrid"/>
        <w:tblW w:type="auto" w:w="0"/>
        <w:tblLook w:firstColumn="1" w:firstRow="1" w:lastColumn="0" w:lastRow="0" w:noHBand="0" w:noVBand="1" w:val="04A0"/>
      </w:tblPr>
      <w:tblGrid>
        <w:gridCol w:w="4320"/>
        <w:gridCol w:w="4320"/>
      </w:tblGrid>
      <w:tr>
        <w:tc>
          <w:tcPr>
            <w:tcW w:type="dxa" w:w="4320"/>
          </w:tcPr>
          <w:p>
            <w:r>
              <w:rPr>
                <w:b/>
              </w:rPr>
              <w:t>Taxpayer Category</w:t>
            </w:r>
          </w:p>
        </w:tc>
        <w:tc>
          <w:tcPr>
            <w:tcW w:type="dxa" w:w="4320"/>
          </w:tcPr>
          <w:p>
            <w:r>
              <w:rPr>
                <w:b/>
              </w:rPr>
              <w:t>CGT Rate</w:t>
            </w:r>
          </w:p>
        </w:tc>
      </w:tr>
      <w:tr>
        <w:tc>
          <w:tcPr>
            <w:tcW w:type="dxa" w:w="4320"/>
          </w:tcPr>
          <w:p>
            <w:r>
              <w:t>Companies</w:t>
            </w:r>
          </w:p>
        </w:tc>
        <w:tc>
          <w:tcPr>
            <w:tcW w:type="dxa" w:w="4320"/>
          </w:tcPr>
          <w:p>
            <w:r>
              <w:t>30% (increased from 10%)</w:t>
            </w:r>
          </w:p>
        </w:tc>
      </w:tr>
      <w:tr>
        <w:tc>
          <w:tcPr>
            <w:tcW w:type="dxa" w:w="4320"/>
          </w:tcPr>
          <w:p>
            <w:r>
              <w:t>Individuals</w:t>
            </w:r>
          </w:p>
        </w:tc>
        <w:tc>
          <w:tcPr>
            <w:tcW w:type="dxa" w:w="4320"/>
          </w:tcPr>
          <w:p>
            <w:r>
              <w:t>Personal income tax rates apply (progressive rates up to 25%)</w:t>
            </w:r>
          </w:p>
        </w:tc>
      </w:tr>
    </w:tbl>
    <w:p/>
    <w:p>
      <w:pPr>
        <w:pStyle w:val="Heading2"/>
      </w:pPr>
      <w:r>
        <w:t>5.3 Indirect Offshore Transfers</w:t>
      </w:r>
    </w:p>
    <w:p>
      <w:r>
        <w:t>A significant change under the NTA is the introduction of CGT on indirect transfers of shares in Nigerian companies. This means that where shares are sold in offshore holding companies that own Nigerian entities, CGT is triggered (subject to applicable tax treaty exemptions).</w:t>
      </w:r>
    </w:p>
    <w:p>
      <w:pPr>
        <w:pStyle w:val="Heading2"/>
      </w:pPr>
      <w:r>
        <w:t>5.4 CGT Exemptions</w:t>
      </w:r>
    </w:p>
    <w:p>
      <w:pPr>
        <w:pStyle w:val="ListBullet"/>
      </w:pPr>
      <w:r>
        <w:t>Disposals where consideration is less than ₦150 million (increased from ₦100 million) AND chargeable gains do not exceed ₦10 million in any 12 consecutive months</w:t>
      </w:r>
    </w:p>
    <w:p>
      <w:pPr>
        <w:pStyle w:val="ListBullet"/>
      </w:pPr>
      <w:r>
        <w:t>Gains from disposal of shares in licensed startups held for at least 24 months</w:t>
      </w:r>
    </w:p>
    <w:p>
      <w:pPr>
        <w:pStyle w:val="ListBullet"/>
      </w:pPr>
      <w:r>
        <w:t>Small companies are exempt from CGT</w:t>
      </w:r>
    </w:p>
    <w:p>
      <w:pPr>
        <w:pStyle w:val="ListBullet"/>
      </w:pPr>
      <w:r>
        <w:t>Proceeds reinvested in similar assets within one year</w:t>
      </w:r>
    </w:p>
    <w:p>
      <w:pPr>
        <w:pStyle w:val="Heading1"/>
      </w:pPr>
      <w:r>
        <w:t>6. Withholding Tax (WHT)</w:t>
      </w:r>
    </w:p>
    <w:p>
      <w:pPr>
        <w:pStyle w:val="Heading2"/>
      </w:pPr>
      <w:r>
        <w:t>6.1 Overview</w:t>
      </w:r>
    </w:p>
    <w:p>
      <w:r>
        <w:t>Withholding Tax is an advance payment of income tax deducted at source from certain payments. It is not a separate tax but a mechanism for collecting taxes.</w:t>
      </w:r>
    </w:p>
    <w:p>
      <w:pPr>
        <w:pStyle w:val="Heading2"/>
      </w:pPr>
      <w:r>
        <w:t>6.2 WHT Rates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Type of Payment</w:t>
            </w:r>
          </w:p>
        </w:tc>
        <w:tc>
          <w:tcPr>
            <w:tcW w:type="dxa" w:w="2880"/>
          </w:tcPr>
          <w:p>
            <w:r>
              <w:rPr>
                <w:b/>
              </w:rPr>
              <w:t>Resident Rate</w:t>
            </w:r>
          </w:p>
        </w:tc>
        <w:tc>
          <w:tcPr>
            <w:tcW w:type="dxa" w:w="2880"/>
          </w:tcPr>
          <w:p>
            <w:r>
              <w:rPr>
                <w:b/>
              </w:rPr>
              <w:t>Non-Resident Rate</w:t>
            </w:r>
          </w:p>
        </w:tc>
      </w:tr>
      <w:tr>
        <w:tc>
          <w:tcPr>
            <w:tcW w:type="dxa" w:w="2880"/>
          </w:tcPr>
          <w:p>
            <w:r>
              <w:t>Dividends</w:t>
            </w:r>
          </w:p>
        </w:tc>
        <w:tc>
          <w:tcPr>
            <w:tcW w:type="dxa" w:w="2880"/>
          </w:tcPr>
          <w:p>
            <w:r>
              <w:t>10%</w:t>
            </w:r>
          </w:p>
        </w:tc>
        <w:tc>
          <w:tcPr>
            <w:tcW w:type="dxa" w:w="2880"/>
          </w:tcPr>
          <w:p>
            <w:r>
              <w:t>10%</w:t>
            </w:r>
          </w:p>
        </w:tc>
      </w:tr>
      <w:tr>
        <w:tc>
          <w:tcPr>
            <w:tcW w:type="dxa" w:w="2880"/>
          </w:tcPr>
          <w:p>
            <w:r>
              <w:t>Interest</w:t>
            </w:r>
          </w:p>
        </w:tc>
        <w:tc>
          <w:tcPr>
            <w:tcW w:type="dxa" w:w="2880"/>
          </w:tcPr>
          <w:p>
            <w:r>
              <w:t>10%</w:t>
            </w:r>
          </w:p>
        </w:tc>
        <w:tc>
          <w:tcPr>
            <w:tcW w:type="dxa" w:w="2880"/>
          </w:tcPr>
          <w:p>
            <w:r>
              <w:t>10%</w:t>
            </w:r>
          </w:p>
        </w:tc>
      </w:tr>
      <w:tr>
        <w:tc>
          <w:tcPr>
            <w:tcW w:type="dxa" w:w="2880"/>
          </w:tcPr>
          <w:p>
            <w:r>
              <w:t>Royalties</w:t>
            </w:r>
          </w:p>
        </w:tc>
        <w:tc>
          <w:tcPr>
            <w:tcW w:type="dxa" w:w="2880"/>
          </w:tcPr>
          <w:p>
            <w:r>
              <w:t>10%</w:t>
            </w:r>
          </w:p>
        </w:tc>
        <w:tc>
          <w:tcPr>
            <w:tcW w:type="dxa" w:w="2880"/>
          </w:tcPr>
          <w:p>
            <w:r>
              <w:t>10%</w:t>
            </w:r>
          </w:p>
        </w:tc>
      </w:tr>
      <w:tr>
        <w:tc>
          <w:tcPr>
            <w:tcW w:type="dxa" w:w="2880"/>
          </w:tcPr>
          <w:p>
            <w:r>
              <w:t>Rent (on property)</w:t>
            </w:r>
          </w:p>
        </w:tc>
        <w:tc>
          <w:tcPr>
            <w:tcW w:type="dxa" w:w="2880"/>
          </w:tcPr>
          <w:p>
            <w:r>
              <w:t>10%</w:t>
            </w:r>
          </w:p>
        </w:tc>
        <w:tc>
          <w:tcPr>
            <w:tcW w:type="dxa" w:w="2880"/>
          </w:tcPr>
          <w:p>
            <w:r>
              <w:t>10%</w:t>
            </w:r>
          </w:p>
        </w:tc>
      </w:tr>
      <w:tr>
        <w:tc>
          <w:tcPr>
            <w:tcW w:type="dxa" w:w="2880"/>
          </w:tcPr>
          <w:p>
            <w:r>
              <w:t>Commission</w:t>
            </w:r>
          </w:p>
        </w:tc>
        <w:tc>
          <w:tcPr>
            <w:tcW w:type="dxa" w:w="2880"/>
          </w:tcPr>
          <w:p>
            <w:r>
              <w:t>10%</w:t>
            </w:r>
          </w:p>
        </w:tc>
        <w:tc>
          <w:tcPr>
            <w:tcW w:type="dxa" w:w="2880"/>
          </w:tcPr>
          <w:p>
            <w:r>
              <w:t>10%</w:t>
            </w:r>
          </w:p>
        </w:tc>
      </w:tr>
      <w:tr>
        <w:tc>
          <w:tcPr>
            <w:tcW w:type="dxa" w:w="2880"/>
          </w:tcPr>
          <w:p>
            <w:r>
              <w:t>Consultancy/Professional fees</w:t>
            </w:r>
          </w:p>
        </w:tc>
        <w:tc>
          <w:tcPr>
            <w:tcW w:type="dxa" w:w="2880"/>
          </w:tcPr>
          <w:p>
            <w:r>
              <w:t>10%</w:t>
            </w:r>
          </w:p>
        </w:tc>
        <w:tc>
          <w:tcPr>
            <w:tcW w:type="dxa" w:w="2880"/>
          </w:tcPr>
          <w:p>
            <w:r>
              <w:t>10%</w:t>
            </w:r>
          </w:p>
        </w:tc>
      </w:tr>
      <w:tr>
        <w:tc>
          <w:tcPr>
            <w:tcW w:type="dxa" w:w="2880"/>
          </w:tcPr>
          <w:p>
            <w:r>
              <w:t>Technical/Management fees</w:t>
            </w:r>
          </w:p>
        </w:tc>
        <w:tc>
          <w:tcPr>
            <w:tcW w:type="dxa" w:w="2880"/>
          </w:tcPr>
          <w:p>
            <w:r>
              <w:t>10%</w:t>
            </w:r>
          </w:p>
        </w:tc>
        <w:tc>
          <w:tcPr>
            <w:tcW w:type="dxa" w:w="2880"/>
          </w:tcPr>
          <w:p>
            <w:r>
              <w:t>10%</w:t>
            </w:r>
          </w:p>
        </w:tc>
      </w:tr>
      <w:tr>
        <w:tc>
          <w:tcPr>
            <w:tcW w:type="dxa" w:w="2880"/>
          </w:tcPr>
          <w:p>
            <w:r>
              <w:t>Construction contracts</w:t>
            </w:r>
          </w:p>
        </w:tc>
        <w:tc>
          <w:tcPr>
            <w:tcW w:type="dxa" w:w="2880"/>
          </w:tcPr>
          <w:p>
            <w:r>
              <w:t>5%</w:t>
            </w:r>
          </w:p>
        </w:tc>
        <w:tc>
          <w:tcPr>
            <w:tcW w:type="dxa" w:w="2880"/>
          </w:tcPr>
          <w:p>
            <w:r>
              <w:t>5%</w:t>
            </w:r>
          </w:p>
        </w:tc>
      </w:tr>
      <w:tr>
        <w:tc>
          <w:tcPr>
            <w:tcW w:type="dxa" w:w="2880"/>
          </w:tcPr>
          <w:p>
            <w:r>
              <w:t>Supply contracts</w:t>
            </w:r>
          </w:p>
        </w:tc>
        <w:tc>
          <w:tcPr>
            <w:tcW w:type="dxa" w:w="2880"/>
          </w:tcPr>
          <w:p>
            <w:r>
              <w:t>5%</w:t>
            </w:r>
          </w:p>
        </w:tc>
        <w:tc>
          <w:tcPr>
            <w:tcW w:type="dxa" w:w="2880"/>
          </w:tcPr>
          <w:p>
            <w:r>
              <w:t>5%</w:t>
            </w:r>
          </w:p>
        </w:tc>
      </w:tr>
      <w:tr>
        <w:tc>
          <w:tcPr>
            <w:tcW w:type="dxa" w:w="2880"/>
          </w:tcPr>
          <w:p>
            <w:r>
              <w:t>Directors' fees</w:t>
            </w:r>
          </w:p>
        </w:tc>
        <w:tc>
          <w:tcPr>
            <w:tcW w:type="dxa" w:w="2880"/>
          </w:tcPr>
          <w:p>
            <w:r>
              <w:t>10%</w:t>
            </w:r>
          </w:p>
        </w:tc>
        <w:tc>
          <w:tcPr>
            <w:tcW w:type="dxa" w:w="2880"/>
          </w:tcPr>
          <w:p>
            <w:r>
              <w:t>10%</w:t>
            </w:r>
          </w:p>
        </w:tc>
      </w:tr>
      <w:tr>
        <w:tc>
          <w:tcPr>
            <w:tcW w:type="dxa" w:w="2880"/>
          </w:tcPr>
          <w:p>
            <w:r>
              <w:t>Payments to startups (technical services)</w:t>
            </w:r>
          </w:p>
        </w:tc>
        <w:tc>
          <w:tcPr>
            <w:tcW w:type="dxa" w:w="2880"/>
          </w:tcPr>
          <w:p>
            <w:r>
              <w:t>5%</w:t>
            </w:r>
          </w:p>
        </w:tc>
        <w:tc>
          <w:tcPr>
            <w:tcW w:type="dxa" w:w="2880"/>
          </w:tcPr>
          <w:p>
            <w:r>
              <w:t>5%</w:t>
            </w:r>
          </w:p>
        </w:tc>
      </w:tr>
    </w:tbl>
    <w:p/>
    <w:p>
      <w:pPr>
        <w:pStyle w:val="Heading2"/>
      </w:pPr>
      <w:r>
        <w:t>6.3 WHT Exemptions for Small Companies</w:t>
      </w:r>
    </w:p>
    <w:p>
      <w:r>
        <w:t>Small companies are exempt from deducting tax at source if:</w:t>
      </w:r>
    </w:p>
    <w:p>
      <w:pPr>
        <w:pStyle w:val="ListBullet"/>
      </w:pPr>
      <w:r>
        <w:t>The transaction value is ₦2 million or less</w:t>
      </w:r>
    </w:p>
    <w:p>
      <w:pPr>
        <w:pStyle w:val="ListBullet"/>
      </w:pPr>
      <w:r>
        <w:t>The supplier has a valid Tax Identification Number (TIN)</w:t>
      </w:r>
    </w:p>
    <w:p>
      <w:pPr>
        <w:pStyle w:val="Heading1"/>
      </w:pPr>
      <w:r>
        <w:t>7. Stamp Duties</w:t>
      </w:r>
    </w:p>
    <w:p>
      <w:pPr>
        <w:pStyle w:val="Heading2"/>
      </w:pPr>
      <w:r>
        <w:t>7.1 Overview</w:t>
      </w:r>
    </w:p>
    <w:p>
      <w:r>
        <w:t>Stamp duty is a tax on legal documents and certain transactions. The NTA integrates all stamp duty provisions into the unified statute, repealing the standalone Stamp Duties Act.</w:t>
      </w:r>
    </w:p>
    <w:p>
      <w:pPr>
        <w:pStyle w:val="Heading2"/>
      </w:pPr>
      <w:r>
        <w:t>7.2 Stamp Duty Rates</w:t>
      </w:r>
    </w:p>
    <w:tbl>
      <w:tblPr>
        <w:tblStyle w:val="TableGrid"/>
        <w:tblW w:type="auto" w:w="0"/>
        <w:tblLook w:firstColumn="1" w:firstRow="1" w:lastColumn="0" w:lastRow="0" w:noHBand="0" w:noVBand="1" w:val="04A0"/>
      </w:tblPr>
      <w:tblGrid>
        <w:gridCol w:w="4320"/>
        <w:gridCol w:w="4320"/>
      </w:tblGrid>
      <w:tr>
        <w:tc>
          <w:tcPr>
            <w:tcW w:type="dxa" w:w="4320"/>
          </w:tcPr>
          <w:p>
            <w:r>
              <w:rPr>
                <w:b/>
              </w:rPr>
              <w:t>Transaction/Document Type</w:t>
            </w:r>
          </w:p>
        </w:tc>
        <w:tc>
          <w:tcPr>
            <w:tcW w:type="dxa" w:w="4320"/>
          </w:tcPr>
          <w:p>
            <w:r>
              <w:rPr>
                <w:b/>
              </w:rPr>
              <w:t>Rate</w:t>
            </w:r>
          </w:p>
        </w:tc>
      </w:tr>
      <w:tr>
        <w:tc>
          <w:tcPr>
            <w:tcW w:type="dxa" w:w="4320"/>
          </w:tcPr>
          <w:p>
            <w:r>
              <w:t>Electronic money transfers (≥₦10,000)</w:t>
            </w:r>
          </w:p>
        </w:tc>
        <w:tc>
          <w:tcPr>
            <w:tcW w:type="dxa" w:w="4320"/>
          </w:tcPr>
          <w:p>
            <w:r>
              <w:t>₦50 per transfer (paid by sender)</w:t>
            </w:r>
          </w:p>
        </w:tc>
      </w:tr>
      <w:tr>
        <w:tc>
          <w:tcPr>
            <w:tcW w:type="dxa" w:w="4320"/>
          </w:tcPr>
          <w:p>
            <w:r>
              <w:t>Leases (&lt; 7 years)</w:t>
            </w:r>
          </w:p>
        </w:tc>
        <w:tc>
          <w:tcPr>
            <w:tcW w:type="dxa" w:w="4320"/>
          </w:tcPr>
          <w:p>
            <w:r>
              <w:t>0.78%</w:t>
            </w:r>
          </w:p>
        </w:tc>
      </w:tr>
      <w:tr>
        <w:tc>
          <w:tcPr>
            <w:tcW w:type="dxa" w:w="4320"/>
          </w:tcPr>
          <w:p>
            <w:r>
              <w:t>Leases (≥ 7 years)</w:t>
            </w:r>
          </w:p>
        </w:tc>
        <w:tc>
          <w:tcPr>
            <w:tcW w:type="dxa" w:w="4320"/>
          </w:tcPr>
          <w:p>
            <w:r>
              <w:t>3%</w:t>
            </w:r>
          </w:p>
        </w:tc>
      </w:tr>
      <w:tr>
        <w:tc>
          <w:tcPr>
            <w:tcW w:type="dxa" w:w="4320"/>
          </w:tcPr>
          <w:p>
            <w:r>
              <w:t>Transfer of mineral assets</w:t>
            </w:r>
          </w:p>
        </w:tc>
        <w:tc>
          <w:tcPr>
            <w:tcW w:type="dxa" w:w="4320"/>
          </w:tcPr>
          <w:p>
            <w:r>
              <w:t>2%</w:t>
            </w:r>
          </w:p>
        </w:tc>
      </w:tr>
      <w:tr>
        <w:tc>
          <w:tcPr>
            <w:tcW w:type="dxa" w:w="4320"/>
          </w:tcPr>
          <w:p>
            <w:r>
              <w:t>Ordinary loan capital</w:t>
            </w:r>
          </w:p>
        </w:tc>
        <w:tc>
          <w:tcPr>
            <w:tcW w:type="dxa" w:w="4320"/>
          </w:tcPr>
          <w:p>
            <w:r>
              <w:t>0.125%</w:t>
            </w:r>
          </w:p>
        </w:tc>
      </w:tr>
      <w:tr>
        <w:tc>
          <w:tcPr>
            <w:tcW w:type="dxa" w:w="4320"/>
          </w:tcPr>
          <w:p>
            <w:r>
              <w:t>Loan capital conversion/consolidation</w:t>
            </w:r>
          </w:p>
        </w:tc>
        <w:tc>
          <w:tcPr>
            <w:tcW w:type="dxa" w:w="4320"/>
          </w:tcPr>
          <w:p>
            <w:r>
              <w:t>0.1%</w:t>
            </w:r>
          </w:p>
        </w:tc>
      </w:tr>
      <w:tr>
        <w:tc>
          <w:tcPr>
            <w:tcW w:type="dxa" w:w="4320"/>
          </w:tcPr>
          <w:p>
            <w:r>
              <w:t>Share capital</w:t>
            </w:r>
          </w:p>
        </w:tc>
        <w:tc>
          <w:tcPr>
            <w:tcW w:type="dxa" w:w="4320"/>
          </w:tcPr>
          <w:p>
            <w:r>
              <w:t>0.75%</w:t>
            </w:r>
          </w:p>
        </w:tc>
      </w:tr>
      <w:tr>
        <w:tc>
          <w:tcPr>
            <w:tcW w:type="dxa" w:w="4320"/>
          </w:tcPr>
          <w:p>
            <w:r>
              <w:t>Agreements and contracts</w:t>
            </w:r>
          </w:p>
        </w:tc>
        <w:tc>
          <w:tcPr>
            <w:tcW w:type="dxa" w:w="4320"/>
          </w:tcPr>
          <w:p>
            <w:r>
              <w:t>₦1,000 flat rate</w:t>
            </w:r>
          </w:p>
        </w:tc>
      </w:tr>
      <w:tr>
        <w:tc>
          <w:tcPr>
            <w:tcW w:type="dxa" w:w="4320"/>
          </w:tcPr>
          <w:p>
            <w:r>
              <w:t>Mortgages (&gt; ₦10 million)</w:t>
            </w:r>
          </w:p>
        </w:tc>
        <w:tc>
          <w:tcPr>
            <w:tcW w:type="dxa" w:w="4320"/>
          </w:tcPr>
          <w:p>
            <w:r>
              <w:t>Applicable rate</w:t>
            </w:r>
          </w:p>
        </w:tc>
      </w:tr>
      <w:tr>
        <w:tc>
          <w:tcPr>
            <w:tcW w:type="dxa" w:w="4320"/>
          </w:tcPr>
          <w:p>
            <w:r>
              <w:t>Property transfers (&gt; ₦10 million)</w:t>
            </w:r>
          </w:p>
        </w:tc>
        <w:tc>
          <w:tcPr>
            <w:tcW w:type="dxa" w:w="4320"/>
          </w:tcPr>
          <w:p>
            <w:r>
              <w:t>Applicable rate</w:t>
            </w:r>
          </w:p>
        </w:tc>
      </w:tr>
    </w:tbl>
    <w:p/>
    <w:p>
      <w:pPr>
        <w:pStyle w:val="Heading2"/>
      </w:pPr>
      <w:r>
        <w:t>7.3 Stamp Duty Exemptions</w:t>
      </w:r>
    </w:p>
    <w:p>
      <w:pPr>
        <w:pStyle w:val="ListBullet"/>
      </w:pPr>
      <w:r>
        <w:t>Electronic transfers below ₦10,000</w:t>
      </w:r>
    </w:p>
    <w:p>
      <w:pPr>
        <w:pStyle w:val="ListBullet"/>
      </w:pPr>
      <w:r>
        <w:t>Salary payments</w:t>
      </w:r>
    </w:p>
    <w:p>
      <w:pPr>
        <w:pStyle w:val="ListBullet"/>
      </w:pPr>
      <w:r>
        <w:t>Intrabank transfers</w:t>
      </w:r>
    </w:p>
    <w:p>
      <w:pPr>
        <w:pStyle w:val="ListBullet"/>
      </w:pPr>
      <w:r>
        <w:t>Transfer of government securities</w:t>
      </w:r>
    </w:p>
    <w:p>
      <w:pPr>
        <w:pStyle w:val="ListBullet"/>
      </w:pPr>
      <w:r>
        <w:t>Transfer of shares and stocks</w:t>
      </w:r>
    </w:p>
    <w:p>
      <w:pPr>
        <w:pStyle w:val="ListBullet"/>
      </w:pPr>
      <w:r>
        <w:t>Low-rent leases (&lt; ₦10 million or 10 times minimum wage)</w:t>
      </w:r>
    </w:p>
    <w:p>
      <w:pPr>
        <w:pStyle w:val="ListBullet"/>
      </w:pPr>
      <w:r>
        <w:t>Property transactions below ₦10 million (mortgages, transfers)</w:t>
      </w:r>
    </w:p>
    <w:p>
      <w:pPr>
        <w:pStyle w:val="Heading2"/>
      </w:pPr>
      <w:r>
        <w:t>7.4 Timing Requirement</w:t>
      </w:r>
    </w:p>
    <w:p>
      <w:r>
        <w:t>All instruments must be stamped within 30 days of execution.</w:t>
      </w:r>
    </w:p>
    <w:p>
      <w:pPr>
        <w:pStyle w:val="Heading1"/>
      </w:pPr>
      <w:r>
        <w:t>8. Personal Income Tax (PIT)</w:t>
      </w:r>
    </w:p>
    <w:p>
      <w:pPr>
        <w:pStyle w:val="Heading2"/>
      </w:pPr>
      <w:r>
        <w:t>8.1 Overview</w:t>
      </w:r>
    </w:p>
    <w:p>
      <w:r>
        <w:t>Personal Income Tax applies to the income of individuals, including employment income, business income, and investment income.</w:t>
      </w:r>
    </w:p>
    <w:p>
      <w:pPr>
        <w:pStyle w:val="Heading2"/>
      </w:pPr>
      <w:r>
        <w:t>8.2 PIT Rates</w:t>
      </w:r>
    </w:p>
    <w:tbl>
      <w:tblPr>
        <w:tblStyle w:val="TableGrid"/>
        <w:tblW w:type="auto" w:w="0"/>
        <w:tblLook w:firstColumn="1" w:firstRow="1" w:lastColumn="0" w:lastRow="0" w:noHBand="0" w:noVBand="1" w:val="04A0"/>
      </w:tblPr>
      <w:tblGrid>
        <w:gridCol w:w="4320"/>
        <w:gridCol w:w="4320"/>
      </w:tblGrid>
      <w:tr>
        <w:tc>
          <w:tcPr>
            <w:tcW w:type="dxa" w:w="4320"/>
          </w:tcPr>
          <w:p>
            <w:r>
              <w:rPr>
                <w:b/>
              </w:rPr>
              <w:t>Annual Income Band</w:t>
            </w:r>
          </w:p>
        </w:tc>
        <w:tc>
          <w:tcPr>
            <w:tcW w:type="dxa" w:w="4320"/>
          </w:tcPr>
          <w:p>
            <w:r>
              <w:rPr>
                <w:b/>
              </w:rPr>
              <w:t>Tax Rate</w:t>
            </w:r>
          </w:p>
        </w:tc>
      </w:tr>
      <w:tr>
        <w:tc>
          <w:tcPr>
            <w:tcW w:type="dxa" w:w="4320"/>
          </w:tcPr>
          <w:p>
            <w:r>
              <w:t>Up to ₦800,000</w:t>
            </w:r>
          </w:p>
        </w:tc>
        <w:tc>
          <w:tcPr>
            <w:tcW w:type="dxa" w:w="4320"/>
          </w:tcPr>
          <w:p>
            <w:r>
              <w:t>0% (Exempt)</w:t>
            </w:r>
          </w:p>
        </w:tc>
      </w:tr>
      <w:tr>
        <w:tc>
          <w:tcPr>
            <w:tcW w:type="dxa" w:w="4320"/>
          </w:tcPr>
          <w:p>
            <w:r>
              <w:t>₦800,001 - ₦2,500,000</w:t>
            </w:r>
          </w:p>
        </w:tc>
        <w:tc>
          <w:tcPr>
            <w:tcW w:type="dxa" w:w="4320"/>
          </w:tcPr>
          <w:p>
            <w:r>
              <w:t>15%</w:t>
            </w:r>
          </w:p>
        </w:tc>
      </w:tr>
      <w:tr>
        <w:tc>
          <w:tcPr>
            <w:tcW w:type="dxa" w:w="4320"/>
          </w:tcPr>
          <w:p>
            <w:r>
              <w:t>₦2,500,001 - ₦5,000,000</w:t>
            </w:r>
          </w:p>
        </w:tc>
        <w:tc>
          <w:tcPr>
            <w:tcW w:type="dxa" w:w="4320"/>
          </w:tcPr>
          <w:p>
            <w:r>
              <w:t>17.5%</w:t>
            </w:r>
          </w:p>
        </w:tc>
      </w:tr>
      <w:tr>
        <w:tc>
          <w:tcPr>
            <w:tcW w:type="dxa" w:w="4320"/>
          </w:tcPr>
          <w:p>
            <w:r>
              <w:t>₦5,000,001 - ₦10,000,000</w:t>
            </w:r>
          </w:p>
        </w:tc>
        <w:tc>
          <w:tcPr>
            <w:tcW w:type="dxa" w:w="4320"/>
          </w:tcPr>
          <w:p>
            <w:r>
              <w:t>20%</w:t>
            </w:r>
          </w:p>
        </w:tc>
      </w:tr>
      <w:tr>
        <w:tc>
          <w:tcPr>
            <w:tcW w:type="dxa" w:w="4320"/>
          </w:tcPr>
          <w:p>
            <w:r>
              <w:t>₦10,000,001 - ₦20,000,000</w:t>
            </w:r>
          </w:p>
        </w:tc>
        <w:tc>
          <w:tcPr>
            <w:tcW w:type="dxa" w:w="4320"/>
          </w:tcPr>
          <w:p>
            <w:r>
              <w:t>22.5%</w:t>
            </w:r>
          </w:p>
        </w:tc>
      </w:tr>
      <w:tr>
        <w:tc>
          <w:tcPr>
            <w:tcW w:type="dxa" w:w="4320"/>
          </w:tcPr>
          <w:p>
            <w:r>
              <w:t>Above ₦20,000,000</w:t>
            </w:r>
          </w:p>
        </w:tc>
        <w:tc>
          <w:tcPr>
            <w:tcW w:type="dxa" w:w="4320"/>
          </w:tcPr>
          <w:p>
            <w:r>
              <w:t>25%</w:t>
            </w:r>
          </w:p>
        </w:tc>
      </w:tr>
      <w:tr>
        <w:tc>
          <w:tcPr>
            <w:tcW w:type="dxa" w:w="4320"/>
          </w:tcPr>
          <w:p>
            <w:r>
              <w:t>Minimum Wage Earners</w:t>
            </w:r>
          </w:p>
        </w:tc>
        <w:tc>
          <w:tcPr>
            <w:tcW w:type="dxa" w:w="4320"/>
          </w:tcPr>
          <w:p>
            <w:r>
              <w:t>0% (Fully Exempt)</w:t>
            </w:r>
          </w:p>
        </w:tc>
      </w:tr>
    </w:tbl>
    <w:p/>
    <w:p>
      <w:pPr>
        <w:pStyle w:val="Heading2"/>
      </w:pPr>
      <w:r>
        <w:t>8.3 Key PIT Changes</w:t>
      </w:r>
    </w:p>
    <w:p>
      <w:pPr>
        <w:pStyle w:val="ListBullet"/>
      </w:pPr>
      <w:r>
        <w:t>Elimination of Consolidated Relief Allowance (CRA)</w:t>
      </w:r>
    </w:p>
    <w:p>
      <w:pPr>
        <w:pStyle w:val="ListBullet"/>
      </w:pPr>
      <w:r>
        <w:t>New rent relief: 20% of annual rent paid, subject to maximum of ₦500,000</w:t>
      </w:r>
    </w:p>
    <w:p>
      <w:pPr>
        <w:pStyle w:val="ListBullet"/>
      </w:pPr>
      <w:r>
        <w:t>Increased exemption threshold for loss of employment compensation: ₦10 million to ₦50 million</w:t>
      </w:r>
    </w:p>
    <w:p>
      <w:pPr>
        <w:pStyle w:val="ListBullet"/>
      </w:pPr>
      <w:r>
        <w:t>Exemption for individuals earning minimum wage or ₦800,000 or less annually</w:t>
      </w:r>
    </w:p>
    <w:p>
      <w:pPr>
        <w:pStyle w:val="Heading1"/>
      </w:pPr>
      <w:r>
        <w:t>9. Development Levy</w:t>
      </w:r>
    </w:p>
    <w:p>
      <w:r>
        <w:t>The Development Levy is a new 4% levy on the assessable profits of companies. It replaces various earmarked taxes including:</w:t>
      </w:r>
    </w:p>
    <w:p>
      <w:pPr>
        <w:pStyle w:val="ListBullet"/>
      </w:pPr>
      <w:r>
        <w:t>Tertiary Education Tax</w:t>
      </w:r>
    </w:p>
    <w:p>
      <w:pPr>
        <w:pStyle w:val="ListBullet"/>
      </w:pPr>
      <w:r>
        <w:t>Nigeria Police Trust Fund levy</w:t>
      </w:r>
    </w:p>
    <w:p>
      <w:pPr>
        <w:pStyle w:val="ListBullet"/>
      </w:pPr>
      <w:r>
        <w:t>National Information Technology Development Agency levy</w:t>
      </w:r>
    </w:p>
    <w:p>
      <w:pPr>
        <w:pStyle w:val="ListBullet"/>
      </w:pPr>
      <w:r>
        <w:t>Other earmarked contributions</w:t>
      </w:r>
    </w:p>
    <w:p>
      <w:pPr>
        <w:pStyle w:val="Heading2"/>
      </w:pPr>
      <w:r>
        <w:t>9.1 Exemptions</w:t>
      </w:r>
    </w:p>
    <w:p>
      <w:pPr>
        <w:pStyle w:val="ListBullet"/>
      </w:pPr>
      <w:r>
        <w:t>Small companies (turnover ≤ ₦100 million)</w:t>
      </w:r>
    </w:p>
    <w:p>
      <w:pPr>
        <w:pStyle w:val="ListBullet"/>
      </w:pPr>
      <w:r>
        <w:t>Non-resident companies</w:t>
      </w:r>
    </w:p>
    <w:p>
      <w:pPr>
        <w:pStyle w:val="Heading2"/>
      </w:pPr>
      <w:r>
        <w:t>9.2 Total Tax Burden</w:t>
      </w:r>
    </w:p>
    <w:p>
      <w:r>
        <w:t>For large companies, the combined tax burden on profits is approximately 34% (30% CIT + 4% Development Levy).</w:t>
      </w:r>
    </w:p>
    <w:p>
      <w:pPr>
        <w:pStyle w:val="Heading1"/>
      </w:pPr>
      <w:r>
        <w:t>10. Tertiary Education Tax</w:t>
      </w:r>
    </w:p>
    <w:p>
      <w:r>
        <w:t>Tertiary Education Tax is imposed on every Nigerian company at 3% of assessable profit for each year of assessment. This tax is payable within two months of an assessment notice from the tax authority.</w:t>
      </w:r>
    </w:p>
    <w:p>
      <w:r>
        <w:t>Note: Under the Development Levy framework, this tax is consolidated into the 4% Development Levy.</w:t>
      </w:r>
    </w:p>
    <w:p>
      <w:pPr>
        <w:pStyle w:val="Heading1"/>
      </w:pPr>
      <w:r>
        <w:t>11. Tax Exemptions and Incentives</w:t>
      </w:r>
    </w:p>
    <w:p>
      <w:pPr>
        <w:pStyle w:val="Heading2"/>
      </w:pPr>
      <w:r>
        <w:t>11.1 Small Company Exemptions</w:t>
      </w:r>
    </w:p>
    <w:p>
      <w:pPr>
        <w:pStyle w:val="ListBullet"/>
      </w:pPr>
      <w:r>
        <w:t>Companies Income Tax (CIT)</w:t>
      </w:r>
    </w:p>
    <w:p>
      <w:pPr>
        <w:pStyle w:val="ListBullet"/>
      </w:pPr>
      <w:r>
        <w:t>Capital Gains Tax (CGT)</w:t>
      </w:r>
    </w:p>
    <w:p>
      <w:pPr>
        <w:pStyle w:val="ListBullet"/>
      </w:pPr>
      <w:r>
        <w:t>Development Levy (4%)</w:t>
      </w:r>
    </w:p>
    <w:p>
      <w:pPr>
        <w:pStyle w:val="ListBullet"/>
      </w:pPr>
      <w:r>
        <w:t>Withholding tax on income and payments to suppliers (under certain conditions)</w:t>
      </w:r>
    </w:p>
    <w:p>
      <w:pPr>
        <w:pStyle w:val="Heading2"/>
      </w:pPr>
      <w:r>
        <w:t>11.2 Economic Development Incentive (EDI)</w:t>
      </w:r>
    </w:p>
    <w:p>
      <w:r>
        <w:t>The EDI replaces the previous "Pioneer Status" tax holiday with a structured, performance-based incentive:</w:t>
      </w:r>
    </w:p>
    <w:p>
      <w:pPr>
        <w:pStyle w:val="ListBullet"/>
      </w:pPr>
      <w:r>
        <w:t>5% annual tax credit for up to 5 years on qualifying capital expenditure</w:t>
      </w:r>
    </w:p>
    <w:p>
      <w:pPr>
        <w:pStyle w:val="ListBullet"/>
      </w:pPr>
      <w:r>
        <w:t>Capital expenditure must be made within 5 years from production date</w:t>
      </w:r>
    </w:p>
    <w:p>
      <w:pPr>
        <w:pStyle w:val="ListBullet"/>
      </w:pPr>
      <w:r>
        <w:t>Unused tax credits can be carried forward for another 5 years</w:t>
      </w:r>
    </w:p>
    <w:p>
      <w:pPr>
        <w:pStyle w:val="Heading2"/>
      </w:pPr>
      <w:r>
        <w:t>11.3 Sector-Specific Incentives</w:t>
      </w:r>
    </w:p>
    <w:p>
      <w:pPr>
        <w:pStyle w:val="ListBullet"/>
      </w:pPr>
      <w:r>
        <w:t>Agriculture: 5-year tax holiday for crop production, livestock, and dairy businesses</w:t>
      </w:r>
    </w:p>
    <w:p>
      <w:pPr>
        <w:pStyle w:val="ListBullet"/>
      </w:pPr>
      <w:r>
        <w:t>Startups: CGT exemption on gains from disposal of shares held for at least 24 months</w:t>
      </w:r>
    </w:p>
    <w:p>
      <w:pPr>
        <w:pStyle w:val="ListBullet"/>
      </w:pPr>
      <w:r>
        <w:t>Venture Capital: Tax exemption on gains from investments in labeled startups through VC funds, accelerators, or incubators</w:t>
      </w:r>
    </w:p>
    <w:p>
      <w:pPr>
        <w:pStyle w:val="ListBullet"/>
      </w:pPr>
      <w:r>
        <w:t>Manufacturing: Zero-rating for essential goods production (allows input VAT recovery)</w:t>
      </w:r>
    </w:p>
    <w:p>
      <w:pPr>
        <w:pStyle w:val="Heading2"/>
      </w:pPr>
      <w:r>
        <w:t>11.4 Free Zone Benefits</w:t>
      </w:r>
    </w:p>
    <w:p>
      <w:r>
        <w:t>Free zones retain tax exemptions for exports up to 25% of sales to the customs territory. However, this 25% exemption will no longer apply from January 1, 2028, subject to Presidential extension.</w:t>
      </w:r>
    </w:p>
    <w:p>
      <w:pPr>
        <w:pStyle w:val="Heading2"/>
      </w:pPr>
      <w:r>
        <w:t>11.5 Global Minimum Tax</w:t>
      </w:r>
    </w:p>
    <w:p>
      <w:r>
        <w:t>Large companies that are part of multinational groups with global revenue ≥ €750 million or Nigerian turnover ≥ ₦50 billion must maintain a minimum effective tax rate of 15%. A top-up tax applies if reliefs or incentives reduce payable tax below 15%.</w:t>
      </w:r>
    </w:p>
    <w:p>
      <w:pPr>
        <w:pStyle w:val="Heading1"/>
      </w:pPr>
      <w:r>
        <w:t>12. Filing Deadlines and Payment Timelines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Tax Type</w:t>
            </w:r>
          </w:p>
        </w:tc>
        <w:tc>
          <w:tcPr>
            <w:tcW w:type="dxa" w:w="2880"/>
          </w:tcPr>
          <w:p>
            <w:r>
              <w:rPr>
                <w:b/>
              </w:rPr>
              <w:t>Filing/Payment Deadline</w:t>
            </w:r>
          </w:p>
        </w:tc>
        <w:tc>
          <w:tcPr>
            <w:tcW w:type="dxa" w:w="2880"/>
          </w:tcPr>
          <w:p>
            <w:r>
              <w:rPr>
                <w:b/>
              </w:rPr>
              <w:t>Notes</w:t>
            </w:r>
          </w:p>
        </w:tc>
      </w:tr>
      <w:tr>
        <w:tc>
          <w:tcPr>
            <w:tcW w:type="dxa" w:w="2880"/>
          </w:tcPr>
          <w:p>
            <w:r>
              <w:t>Company Income Tax (CIT)</w:t>
            </w:r>
          </w:p>
        </w:tc>
        <w:tc>
          <w:tcPr>
            <w:tcW w:type="dxa" w:w="2880"/>
          </w:tcPr>
          <w:p>
            <w:r>
              <w:t>6 months after fiscal year end</w:t>
            </w:r>
          </w:p>
        </w:tc>
        <w:tc>
          <w:tcPr>
            <w:tcW w:type="dxa" w:w="2880"/>
          </w:tcPr>
          <w:p>
            <w:r>
              <w:t>e.g., June 30 for calendar year companies</w:t>
            </w:r>
          </w:p>
        </w:tc>
      </w:tr>
      <w:tr>
        <w:tc>
          <w:tcPr>
            <w:tcW w:type="dxa" w:w="2880"/>
          </w:tcPr>
          <w:p>
            <w:r>
              <w:t>VAT Returns</w:t>
            </w:r>
          </w:p>
        </w:tc>
        <w:tc>
          <w:tcPr>
            <w:tcW w:type="dxa" w:w="2880"/>
          </w:tcPr>
          <w:p>
            <w:r>
              <w:t>21st of the following month</w:t>
            </w:r>
          </w:p>
        </w:tc>
        <w:tc>
          <w:tcPr>
            <w:tcW w:type="dxa" w:w="2880"/>
          </w:tcPr>
          <w:p>
            <w:r>
              <w:t>Monthly filing requirement</w:t>
            </w:r>
          </w:p>
        </w:tc>
      </w:tr>
      <w:tr>
        <w:tc>
          <w:tcPr>
            <w:tcW w:type="dxa" w:w="2880"/>
          </w:tcPr>
          <w:p>
            <w:r>
              <w:t>PAYE (Employment Tax)</w:t>
            </w:r>
          </w:p>
        </w:tc>
        <w:tc>
          <w:tcPr>
            <w:tcW w:type="dxa" w:w="2880"/>
          </w:tcPr>
          <w:p>
            <w:r>
              <w:t>10th of the following month</w:t>
            </w:r>
          </w:p>
        </w:tc>
        <w:tc>
          <w:tcPr>
            <w:tcW w:type="dxa" w:w="2880"/>
          </w:tcPr>
          <w:p>
            <w:r>
              <w:t>Monthly remittance</w:t>
            </w:r>
          </w:p>
        </w:tc>
      </w:tr>
      <w:tr>
        <w:tc>
          <w:tcPr>
            <w:tcW w:type="dxa" w:w="2880"/>
          </w:tcPr>
          <w:p>
            <w:r>
              <w:t>Annual PAYE Returns</w:t>
            </w:r>
          </w:p>
        </w:tc>
        <w:tc>
          <w:tcPr>
            <w:tcW w:type="dxa" w:w="2880"/>
          </w:tcPr>
          <w:p>
            <w:r>
              <w:t>January 31</w:t>
            </w:r>
          </w:p>
        </w:tc>
        <w:tc>
          <w:tcPr>
            <w:tcW w:type="dxa" w:w="2880"/>
          </w:tcPr>
          <w:p>
            <w:r>
              <w:t>Annual reconciliation</w:t>
            </w:r>
          </w:p>
        </w:tc>
      </w:tr>
      <w:tr>
        <w:tc>
          <w:tcPr>
            <w:tcW w:type="dxa" w:w="2880"/>
          </w:tcPr>
          <w:p>
            <w:r>
              <w:t>Withholding Tax</w:t>
            </w:r>
          </w:p>
        </w:tc>
        <w:tc>
          <w:tcPr>
            <w:tcW w:type="dxa" w:w="2880"/>
          </w:tcPr>
          <w:p>
            <w:r>
              <w:t>21st of the following month</w:t>
            </w:r>
          </w:p>
        </w:tc>
        <w:tc>
          <w:tcPr>
            <w:tcW w:type="dxa" w:w="2880"/>
          </w:tcPr>
          <w:p>
            <w:r>
              <w:t>Monthly remittance</w:t>
            </w:r>
          </w:p>
        </w:tc>
      </w:tr>
      <w:tr>
        <w:tc>
          <w:tcPr>
            <w:tcW w:type="dxa" w:w="2880"/>
          </w:tcPr>
          <w:p>
            <w:r>
              <w:t>Capital Gains Tax</w:t>
            </w:r>
          </w:p>
        </w:tc>
        <w:tc>
          <w:tcPr>
            <w:tcW w:type="dxa" w:w="2880"/>
          </w:tcPr>
          <w:p>
            <w:r>
              <w:t>Within 30 days of disposal</w:t>
            </w:r>
          </w:p>
        </w:tc>
        <w:tc>
          <w:tcPr>
            <w:tcW w:type="dxa" w:w="2880"/>
          </w:tcPr>
          <w:p>
            <w:r>
              <w:t>Disposal-triggered</w:t>
            </w:r>
          </w:p>
        </w:tc>
      </w:tr>
      <w:tr>
        <w:tc>
          <w:tcPr>
            <w:tcW w:type="dxa" w:w="2880"/>
          </w:tcPr>
          <w:p>
            <w:r>
              <w:t>Tertiary Education Tax</w:t>
            </w:r>
          </w:p>
        </w:tc>
        <w:tc>
          <w:tcPr>
            <w:tcW w:type="dxa" w:w="2880"/>
          </w:tcPr>
          <w:p>
            <w:r>
              <w:t>Within 2 months of assessment</w:t>
            </w:r>
          </w:p>
        </w:tc>
        <w:tc>
          <w:tcPr>
            <w:tcW w:type="dxa" w:w="2880"/>
          </w:tcPr>
          <w:p>
            <w:r>
              <w:t>Following CIT assessment</w:t>
            </w:r>
          </w:p>
        </w:tc>
      </w:tr>
      <w:tr>
        <w:tc>
          <w:tcPr>
            <w:tcW w:type="dxa" w:w="2880"/>
          </w:tcPr>
          <w:p>
            <w:r>
              <w:t>Stamp Duty</w:t>
            </w:r>
          </w:p>
        </w:tc>
        <w:tc>
          <w:tcPr>
            <w:tcW w:type="dxa" w:w="2880"/>
          </w:tcPr>
          <w:p>
            <w:r>
              <w:t>Within 30 days of execution</w:t>
            </w:r>
          </w:p>
        </w:tc>
        <w:tc>
          <w:tcPr>
            <w:tcW w:type="dxa" w:w="2880"/>
          </w:tcPr>
          <w:p>
            <w:r>
              <w:t>Document-triggered</w:t>
            </w:r>
          </w:p>
        </w:tc>
      </w:tr>
    </w:tbl>
    <w:p/>
    <w:p>
      <w:pPr>
        <w:pStyle w:val="Heading2"/>
      </w:pPr>
      <w:r>
        <w:t>12.1 Installment Payment Option</w:t>
      </w:r>
    </w:p>
    <w:p>
      <w:r>
        <w:t>Companies filing within 6 months of their accounting year-end can apply to the NRS to pay CIT in up to three installments, easing cash flow pressures.</w:t>
      </w:r>
    </w:p>
    <w:p>
      <w:pPr>
        <w:pStyle w:val="Heading1"/>
      </w:pPr>
      <w:r>
        <w:t>13. Penalties for Non-Compliance</w:t>
      </w:r>
    </w:p>
    <w:tbl>
      <w:tblPr>
        <w:tblStyle w:val="TableGrid"/>
        <w:tblW w:type="auto" w:w="0"/>
        <w:tblLook w:firstColumn="1" w:firstRow="1" w:lastColumn="0" w:lastRow="0" w:noHBand="0" w:noVBand="1" w:val="04A0"/>
      </w:tblPr>
      <w:tblGrid>
        <w:gridCol w:w="4320"/>
        <w:gridCol w:w="4320"/>
      </w:tblGrid>
      <w:tr>
        <w:tc>
          <w:tcPr>
            <w:tcW w:type="dxa" w:w="4320"/>
          </w:tcPr>
          <w:p>
            <w:r>
              <w:rPr>
                <w:b/>
              </w:rPr>
              <w:t>Violation</w:t>
            </w:r>
          </w:p>
        </w:tc>
        <w:tc>
          <w:tcPr>
            <w:tcW w:type="dxa" w:w="4320"/>
          </w:tcPr>
          <w:p>
            <w:r>
              <w:rPr>
                <w:b/>
              </w:rPr>
              <w:t>Penalty</w:t>
            </w:r>
          </w:p>
        </w:tc>
      </w:tr>
      <w:tr>
        <w:tc>
          <w:tcPr>
            <w:tcW w:type="dxa" w:w="4320"/>
          </w:tcPr>
          <w:p>
            <w:r>
              <w:t>Late return filing</w:t>
            </w:r>
          </w:p>
        </w:tc>
        <w:tc>
          <w:tcPr>
            <w:tcW w:type="dxa" w:w="4320"/>
          </w:tcPr>
          <w:p>
            <w:r>
              <w:t>₦100,000 for first month + ₦50,000 for each additional month</w:t>
            </w:r>
          </w:p>
        </w:tc>
      </w:tr>
      <w:tr>
        <w:tc>
          <w:tcPr>
            <w:tcW w:type="dxa" w:w="4320"/>
          </w:tcPr>
          <w:p>
            <w:r>
              <w:t>Failure to deduct/remit WHT</w:t>
            </w:r>
          </w:p>
        </w:tc>
        <w:tc>
          <w:tcPr>
            <w:tcW w:type="dxa" w:w="4320"/>
          </w:tcPr>
          <w:p>
            <w:r>
              <w:t>10% of amount not deducted/remitted</w:t>
            </w:r>
          </w:p>
        </w:tc>
      </w:tr>
      <w:tr>
        <w:tc>
          <w:tcPr>
            <w:tcW w:type="dxa" w:w="4320"/>
          </w:tcPr>
          <w:p>
            <w:r>
              <w:t>Late payment of tax</w:t>
            </w:r>
          </w:p>
        </w:tc>
        <w:tc>
          <w:tcPr>
            <w:tcW w:type="dxa" w:w="4320"/>
          </w:tcPr>
          <w:p>
            <w:r>
              <w:t>Interest at prevailing CBN MPR</w:t>
            </w:r>
          </w:p>
        </w:tc>
      </w:tr>
      <w:tr>
        <w:tc>
          <w:tcPr>
            <w:tcW w:type="dxa" w:w="4320"/>
          </w:tcPr>
          <w:p>
            <w:r>
              <w:t>Awarding contracts to unregistered entities</w:t>
            </w:r>
          </w:p>
        </w:tc>
        <w:tc>
          <w:tcPr>
            <w:tcW w:type="dxa" w:w="4320"/>
          </w:tcPr>
          <w:p>
            <w:r>
              <w:t>₦5 million fine</w:t>
            </w:r>
          </w:p>
        </w:tc>
      </w:tr>
      <w:tr>
        <w:tc>
          <w:tcPr>
            <w:tcW w:type="dxa" w:w="4320"/>
          </w:tcPr>
          <w:p>
            <w:r>
              <w:t>Under-deduction of PAYE</w:t>
            </w:r>
          </w:p>
        </w:tc>
        <w:tc>
          <w:tcPr>
            <w:tcW w:type="dxa" w:w="4320"/>
          </w:tcPr>
          <w:p>
            <w:r>
              <w:t>Stiffer penalties + interest</w:t>
            </w:r>
          </w:p>
        </w:tc>
      </w:tr>
      <w:tr>
        <w:tc>
          <w:tcPr>
            <w:tcW w:type="dxa" w:w="4320"/>
          </w:tcPr>
          <w:p>
            <w:r>
              <w:t>Failure to maintain proper records</w:t>
            </w:r>
          </w:p>
        </w:tc>
        <w:tc>
          <w:tcPr>
            <w:tcW w:type="dxa" w:w="4320"/>
          </w:tcPr>
          <w:p>
            <w:r>
              <w:t>Administrative penalties apply</w:t>
            </w:r>
          </w:p>
        </w:tc>
      </w:tr>
    </w:tbl>
    <w:p/>
    <w:p>
      <w:pPr>
        <w:pStyle w:val="Heading1"/>
      </w:pPr>
      <w:r>
        <w:t>14. Conclusion</w:t>
      </w:r>
    </w:p>
    <w:p>
      <w:r>
        <w:t>The Nigeria Tax Act 2025 represents a landmark reform of Nigeria's tax system. Key takeaways for companies include:</w:t>
      </w:r>
    </w:p>
    <w:p>
      <w:pPr>
        <w:pStyle w:val="ListBullet"/>
      </w:pPr>
      <w:r>
        <w:t>Small companies (turnover ≤ ₦100 million) enjoy significant exemptions from CIT, CGT, and Development Levy</w:t>
      </w:r>
    </w:p>
    <w:p>
      <w:pPr>
        <w:pStyle w:val="ListBullet"/>
      </w:pPr>
      <w:r>
        <w:t>Medium and large companies face a combined tax burden of approximately 34% (30% CIT + 4% Development Levy)</w:t>
      </w:r>
    </w:p>
    <w:p>
      <w:pPr>
        <w:pStyle w:val="ListBullet"/>
      </w:pPr>
      <w:r>
        <w:t>The CGT rate for companies has tripled from 10% to 30%</w:t>
      </w:r>
    </w:p>
    <w:p>
      <w:pPr>
        <w:pStyle w:val="ListBullet"/>
      </w:pPr>
      <w:r>
        <w:t>VAT remains at 7.5% with expanded input VAT recovery rights</w:t>
      </w:r>
    </w:p>
    <w:p>
      <w:pPr>
        <w:pStyle w:val="ListBullet"/>
      </w:pPr>
      <w:r>
        <w:t>Digital compliance (e-invoicing, electronic recordkeeping) is now mandatory</w:t>
      </w:r>
    </w:p>
    <w:p>
      <w:pPr>
        <w:pStyle w:val="ListBullet"/>
      </w:pPr>
      <w:r>
        <w:t>Pioneer status tax holidays have been replaced with the Economic Development Incentive</w:t>
      </w:r>
    </w:p>
    <w:p>
      <w:pPr>
        <w:pStyle w:val="ListBullet"/>
      </w:pPr>
      <w:r>
        <w:t>Penalties for non-compliance have been significantly increased</w:t>
      </w:r>
    </w:p>
    <w:p>
      <w:pPr>
        <w:pStyle w:val="ListBullet"/>
      </w:pPr>
      <w:r>
        <w:t>Approximately 90% of daily necessities are now zero-rated or exempt from VAT</w:t>
      </w:r>
    </w:p>
    <w:p/>
    <w:p>
      <w:r>
        <w:t>Companies are advised to review their tax positions, update their systems for digital compliance, and consult with tax professionals to ensure full compliance with the new regime.</w:t>
      </w:r>
    </w:p>
    <w:p/>
    <w:p/>
    <w:p>
      <w:r>
        <w:rPr>
          <w:b/>
        </w:rPr>
        <w:t xml:space="preserve">Document prepared: </w:t>
      </w:r>
      <w:r>
        <w:t>January 14, 2026</w:t>
      </w:r>
    </w:p>
    <w:p>
      <w:r>
        <w:rPr>
          <w:b/>
        </w:rPr>
        <w:t xml:space="preserve">Disclaimer: </w:t>
      </w:r>
      <w:r>
        <w:t>This document is for informational purposes only and does not constitute legal or tax advice. Please consult with qualified tax professionals for specific guidance.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