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Times New Roman" w:cs="Times New Roman" w:eastAsia="Times New Roman" w:hAnsi="Times New Roman"/>
          <w:b w:val="1"/>
          <w:bCs w:val="1"/>
          <w:sz w:val="32"/>
          <w:szCs w:val="32"/>
          <w:rtl w:val="0"/>
        </w:rPr>
        <w:t xml:space="preserve">Enhancing Software Defect Prediction Using Explainable AI and Cross-Project Feature Weighting</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Priyanshu Kumar¹, Kumar Rajnish², Shubham Kumar³</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Times New Roman" w:cs="Times New Roman" w:eastAsia="Times New Roman" w:hAnsi="Times New Roman"/>
          <w:sz w:val="20"/>
          <w:szCs w:val="20"/>
          <w:rtl w:val="0"/>
        </w:rPr>
        <w:t xml:space="preserve">¹³Department of Chemical Engineering, Birla Institute of Technology, Mesra, Ranchi, 835215, India.</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Times New Roman" w:cs="Times New Roman" w:eastAsia="Times New Roman" w:hAnsi="Times New Roman"/>
          <w:sz w:val="20"/>
          <w:szCs w:val="20"/>
          <w:rtl w:val="0"/>
        </w:rPr>
        <w:t xml:space="preserve">²Department of Computer Science and Engineering, Birla Institute of Technology, Mesra, Ranchi, 835215, India.</w:t>
      </w: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Fonts w:ascii="Times New Roman" w:cs="Times New Roman" w:eastAsia="Times New Roman" w:hAnsi="Times New Roman"/>
          <w:i w:val="1"/>
          <w:iCs w:val="1"/>
          <w:sz w:val="20"/>
          <w:szCs w:val="20"/>
          <w:rtl w:val="0"/>
        </w:rPr>
        <w:t xml:space="preserve">Corresponding author: btech10945.23@bitmesra.ac.in</w:t>
      </w:r>
      <w:r w:rsidDel="00000000" w:rsidR="00000000" w:rsidRPr="00000000">
        <w:rPr>
          <w:rtl w:val="0"/>
        </w:rPr>
      </w:r>
    </w:p>
    <w:p w:rsidR="00000000" w:rsidDel="00000000" w:rsidP="00000000" w:rsidRDefault="00000000" w:rsidRPr="00000000" w14:paraId="00000006">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07">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Software defect prediction (SDP) remains a critical challenge in software quality assurance, particularly for cross-project generalization where labeled data from a target project is unavailable. This study proposes an explainability-guided SDP pipeline that transforms SHAP-derived global feature importance into a lightweight data transformation step to improve cross-project generalization. Using five publicly available Eclipse-ecosystem bug-metric datasets from D'Ambros et al., we adopt a two-phase evaluation protocol: Phase 1 trains and interprets models on Eclipse JDT and Mylyn (in-project), while Phase 2 tests SHAP-weighted feature representations on three held-out projects (Equinox, Lucene, and Eclipse PDE) without any target-domain retraining. Eight classifiers are evaluated using 5-fold stratified cross-validation with a fixed 80/20 stratified test split (seed = 42). SHAP global weights are derived exclusively from the Phase 1 training data and applied as a multiplicative feature transformation to Phase 2 data. LIME local explanations are assessed across three random seeds to quantify stability. The proposed SHAP-weighting step yields consistent improvements on SVC (+2.6% F1 on Equinox, +1.5% on PDE) and Logistic Regression (+1.4% F1 on PDE), while producing neutral to marginal effects on tree-based models. An honest discussion of limitations, data leakage risks, and threats to validity is provided alongside directions for future work.</w:t>
      </w:r>
      <w:r w:rsidDel="00000000" w:rsidR="00000000" w:rsidRPr="00000000">
        <w:rPr>
          <w:rtl w:val="0"/>
        </w:rPr>
      </w:r>
    </w:p>
    <w:p w:rsidR="00000000" w:rsidDel="00000000" w:rsidP="00000000" w:rsidRDefault="00000000" w:rsidRPr="00000000" w14:paraId="00000008">
      <w:pPr>
        <w:spacing w:after="80" w:before="100" w:line="276" w:lineRule="auto"/>
        <w:jc w:val="both"/>
        <w:rPr/>
      </w:pPr>
      <w:r w:rsidDel="00000000" w:rsidR="00000000" w:rsidRPr="00000000">
        <w:rPr>
          <w:rFonts w:ascii="Times New Roman" w:cs="Times New Roman" w:eastAsia="Times New Roman" w:hAnsi="Times New Roman"/>
          <w:i w:val="1"/>
          <w:iCs w:val="1"/>
          <w:sz w:val="24"/>
          <w:szCs w:val="24"/>
          <w:rtl w:val="0"/>
        </w:rPr>
        <w:t xml:space="preserve">Keywords: Software Defect Prediction, Explainable AI, SHAP, LIME, Cross-Project Prediction, Feature Weighting</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r>
    </w:p>
    <w:p w:rsidR="00000000" w:rsidDel="00000000" w:rsidP="00000000" w:rsidRDefault="00000000" w:rsidRPr="00000000" w14:paraId="0000000A">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0B">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Software defect prediction (SDP) has been recognized for decades as a practical mechanism for directing testing effort toward defect-prone modules before they reach production [1]. Large-scale studies consistently show that a small fraction of software components accounts for the majority of defects, making predictive models a cost-effective tool for quality assurance [2,3]. Over the years, a wide variety of features, including size metrics, complexity metrics, change history, and historical bug counts, have been used to train machine learning classifiers for this task [4,5].</w:t>
      </w:r>
      <w:r w:rsidDel="00000000" w:rsidR="00000000" w:rsidRPr="00000000">
        <w:rPr>
          <w:rtl w:val="0"/>
        </w:rPr>
      </w:r>
    </w:p>
    <w:p w:rsidR="00000000" w:rsidDel="00000000" w:rsidP="00000000" w:rsidRDefault="00000000" w:rsidRPr="00000000" w14:paraId="0000000C">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Despite considerable progress, two challenges remain persistent. First, most SDP models are treated as black boxes: they yield accurate predictions but offer minimal insight into which features drive specific decisions. This opacity limits developer trust and reduces the actionability of predictions in practice [6,7]. Second, cross-project generalization, training on one project and predicting defects in another, is inherently difficult because feature distributions shift across software ecosystems [8,9].</w:t>
      </w:r>
      <w:r w:rsidDel="00000000" w:rsidR="00000000" w:rsidRPr="00000000">
        <w:rPr>
          <w:rtl w:val="0"/>
        </w:rPr>
      </w:r>
    </w:p>
    <w:p w:rsidR="00000000" w:rsidDel="00000000" w:rsidP="00000000" w:rsidRDefault="00000000" w:rsidRPr="00000000" w14:paraId="0000000D">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Explainable AI (XAI) addresses the first challenge by providing human-interpretable rationales for model decisions. LIME [10] generates local explanations by approximating a complex model's decision boundary near a specific instance with a sparse linear surrogate. SHAP [11] computes globally consistent feature attributions grounded in cooperative game theory. Both techniques have been applied in SDP primarily as post-hoc diagnostic tools [12,13,14]. A smaller body of work has begun exploring whether XAI outputs can be fed back into the learning process to improve predictions, but this direction remains underexplored for module-level SDP [15,16].</w:t>
      </w:r>
      <w:r w:rsidDel="00000000" w:rsidR="00000000" w:rsidRPr="00000000">
        <w:rPr>
          <w:rtl w:val="0"/>
        </w:rPr>
      </w:r>
    </w:p>
    <w:p w:rsidR="00000000" w:rsidDel="00000000" w:rsidP="00000000" w:rsidRDefault="00000000" w:rsidRPr="00000000" w14:paraId="0000000E">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This paper bridges both challenges. We propose a pipeline where SHAP global feature importance scores, derived from in-project training data, are used to construct a feature-weighted representation of unseen target projects. Rather than learning new model parameters for each target project, the transformation scales each feature by its normalized mean absolute SHAP value, computed across Phase 1 training folds. This lightweight approach requires no labeled target data and imposes no additional computational burden at test time.</w:t>
      </w:r>
      <w:r w:rsidDel="00000000" w:rsidR="00000000" w:rsidRPr="00000000">
        <w:rPr>
          <w:rtl w:val="0"/>
        </w:rPr>
      </w:r>
    </w:p>
    <w:p w:rsidR="00000000" w:rsidDel="00000000" w:rsidP="00000000" w:rsidRDefault="00000000" w:rsidRPr="00000000" w14:paraId="0000000F">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main contributions of this work are: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two-phase, leakage-aware evaluation protocol that clearly separates in-project (Phase 1: Eclipse JDT, Mylyn) and cross-project (Phase 2: Equinox, Lucene, PDE) experiments.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formally defined SHAP-weighting transformation with explicit normalization, derived only from Phase 1 training data to prevent information leakage.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Quantitative LIME stability analysis across three random seeds, enabling an objective comparison of explanation consistency between SVC and GradientBoosting.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honest empirical evaluation with full baselines (original vs. SHAP-weighted) on all five datasets, reporting F1-macro, ROC-AUC, PR-AUC, and cross-validation standard deviations.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discussion of threats to validity, methodological limitations, and directions for robust future work.</w:t>
      </w:r>
    </w:p>
    <w:p w:rsidR="00000000" w:rsidDel="00000000" w:rsidP="00000000" w:rsidRDefault="00000000" w:rsidRPr="00000000" w14:paraId="00000015">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remainder of this paper is structured as follows. Section 2 reviews related work. Section 3 describes the methodology. Section 4 presents the experimental results. Section 5 discusses findings and limitations. Section 6 concludes the paper.</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2. Related Work</w:t>
      </w:r>
      <w:r w:rsidDel="00000000" w:rsidR="00000000" w:rsidRPr="00000000">
        <w:rPr>
          <w:rtl w:val="0"/>
        </w:rPr>
      </w:r>
    </w:p>
    <w:p w:rsidR="00000000" w:rsidDel="00000000" w:rsidP="00000000" w:rsidRDefault="00000000" w:rsidRPr="00000000" w14:paraId="00000018">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Software defect prediction has evolved from simple regression models on Halstead and McCabe metrics [2] to ensemble learners and deep neural networks operating on a rich mix of static, process, and change metrics [3,4,17]. The following subsections survey the most relevant strands of prior work.</w:t>
      </w:r>
      <w:r w:rsidDel="00000000" w:rsidR="00000000" w:rsidRPr="00000000">
        <w:rPr>
          <w:rtl w:val="0"/>
        </w:rPr>
      </w:r>
    </w:p>
    <w:p w:rsidR="00000000" w:rsidDel="00000000" w:rsidP="00000000" w:rsidRDefault="00000000" w:rsidRPr="00000000" w14:paraId="00000019">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2.1 Metric-Based and Ensemble SDP</w:t>
      </w:r>
      <w:r w:rsidDel="00000000" w:rsidR="00000000" w:rsidRPr="00000000">
        <w:rPr>
          <w:rtl w:val="0"/>
        </w:rPr>
      </w:r>
    </w:p>
    <w:p w:rsidR="00000000" w:rsidDel="00000000" w:rsidP="00000000" w:rsidRDefault="00000000" w:rsidRPr="00000000" w14:paraId="0000001A">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Early foundational work established that structural code attributes, particularly complexity, coupling, and cohesion, correlate with defect proneness [2,3]. Public benchmark datasets such as those in the PROMISE repository [18] and Defects4J [19] accelerated reproducible empirical evaluation. However, concerns about data quality, especially in the NASA MDP dataset family, motivated deeper attention to preprocessing and noise filtering [20,21]. Among the classifiers evaluated in this space, ensemble methods such as Random Forests [22] and gradient boosting variants such as XGBoost [23] and LightGBM consistently outperform single learners on class-imbalanced SDP tasks. The dataset used in this study, the Eclipse bug-metric collection by D'Ambros et al. [26], was specifically designed for fair cross-project comparison and has since become a standard benchmark.</w:t>
      </w:r>
      <w:r w:rsidDel="00000000" w:rsidR="00000000" w:rsidRPr="00000000">
        <w:rPr>
          <w:rtl w:val="0"/>
        </w:rPr>
      </w:r>
    </w:p>
    <w:p w:rsidR="00000000" w:rsidDel="00000000" w:rsidP="00000000" w:rsidRDefault="00000000" w:rsidRPr="00000000" w14:paraId="0000001B">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2.2 Cross-Project Defect Prediction</w:t>
      </w:r>
      <w:r w:rsidDel="00000000" w:rsidR="00000000" w:rsidRPr="00000000">
        <w:rPr>
          <w:rtl w:val="0"/>
        </w:rPr>
      </w:r>
    </w:p>
    <w:p w:rsidR="00000000" w:rsidDel="00000000" w:rsidP="00000000" w:rsidRDefault="00000000" w:rsidRPr="00000000" w14:paraId="0000001C">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Cross-project defect prediction (CPDP) addresses the scenario where labeled data is unavailable for a target project. Early CPDP work relied on instance filtering, feature alignment, or transfer learning to bridge distributional gaps between source and target projects [8,9]. More recent approaches use domain adaptation, metric selection, and clustering to identify the most transferable training instances [24,25]. A recurring finding is that simple feature-space normalization, applied before training, can substantially reduce the distribution mismatch penalty. Our SHAP-weighting transformation can be viewed as an interpretability-guided normalization step: instead of uniform standardization, features are scaled according to their globally explained importance, which in principle should de-emphasize dataset-specific noise.</w:t>
      </w:r>
      <w:r w:rsidDel="00000000" w:rsidR="00000000" w:rsidRPr="00000000">
        <w:rPr>
          <w:rtl w:val="0"/>
        </w:rPr>
      </w:r>
    </w:p>
    <w:p w:rsidR="00000000" w:rsidDel="00000000" w:rsidP="00000000" w:rsidRDefault="00000000" w:rsidRPr="00000000" w14:paraId="0000001D">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2.3 Explainability in Software Engineering</w:t>
      </w:r>
      <w:r w:rsidDel="00000000" w:rsidR="00000000" w:rsidRPr="00000000">
        <w:rPr>
          <w:rtl w:val="0"/>
        </w:rPr>
      </w:r>
    </w:p>
    <w:p w:rsidR="00000000" w:rsidDel="00000000" w:rsidP="00000000" w:rsidRDefault="00000000" w:rsidRPr="00000000" w14:paraId="0000001E">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intersection of XAI and software engineering has attracted growing attention. Shin et al. [12] provided one of the first systematic evaluations of LIME and SHAP for SDP, showing that explanation stability varies across models and that high accuracy does not guarantee reliable explanations. Haldar et al. [13] introduced quantitative metrics for measuring explanation robustness in defect prediction and identified vulnerabilities in cross-project settings. Zheng et al. [14] applied LIME to just-in-time defect prediction at the commit level, demonstrating that fine-grained explanations improve developer trust in practice. Schulte et al. [15] compared LIME and SHAP for issue-prediction tasks, identifying systematic biases. Al-Smadi et al. [16] used SHAP to reveal global feature importance patterns beyond what traditional correlation metrics detect. Collectively, these studies position XAI as a diagnostic tool rather than an active component of the learning pipeline.</w:t>
      </w:r>
      <w:r w:rsidDel="00000000" w:rsidR="00000000" w:rsidRPr="00000000">
        <w:rPr>
          <w:rtl w:val="0"/>
        </w:rPr>
      </w:r>
    </w:p>
    <w:p w:rsidR="00000000" w:rsidDel="00000000" w:rsidP="00000000" w:rsidRDefault="00000000" w:rsidRPr="00000000" w14:paraId="0000001F">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In related research on search-based software testing, Kazmi et al. demonstrated that multi-objective optimization algorithms can meaningfully improve test case prioritization in web application testing environments [27,28,29]. While the domain differs, the principle of using optimization-guided feature selection to improve generalization across projects closely parallels our use of SHAP-driven feature weighting for cross-project SDP. Their work motivates the broader idea that principled, evidence-based feature transformations outperform heuristic or uniform ones.</w:t>
      </w:r>
      <w:r w:rsidDel="00000000" w:rsidR="00000000" w:rsidRPr="00000000">
        <w:rPr>
          <w:rtl w:val="0"/>
        </w:rPr>
      </w:r>
    </w:p>
    <w:p w:rsidR="00000000" w:rsidDel="00000000" w:rsidP="00000000" w:rsidRDefault="00000000" w:rsidRPr="00000000" w14:paraId="00000020">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Table 1 summarizes the most directly relevant prior studies, highlighting the key distinction that most existing work treats XAI as a post-hoc layer rather than an active input to the learning process. Our work occupies the gap identified by Shin et al. [12] and Haldar [30] by using SHAP attributions to construct improved feature representations.</w:t>
      </w:r>
      <w:r w:rsidDel="00000000" w:rsidR="00000000" w:rsidRPr="00000000">
        <w:rPr>
          <w:rtl w:val="0"/>
        </w:rPr>
      </w:r>
    </w:p>
    <w:p w:rsidR="00000000" w:rsidDel="00000000" w:rsidP="00000000" w:rsidRDefault="00000000" w:rsidRPr="00000000" w14:paraId="00000021">
      <w:pPr>
        <w:spacing w:after="12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 Summary of Related XAI-SDP Studies</w:t>
      </w:r>
      <w:r w:rsidDel="00000000" w:rsidR="00000000" w:rsidRPr="00000000">
        <w:rPr>
          <w:rtl w:val="0"/>
        </w:rPr>
      </w:r>
    </w:p>
    <w:tbl>
      <w:tblPr>
        <w:tblStyle w:val="Table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3500"/>
        <w:tblGridChange w:id="0">
          <w:tblGrid>
            <w:gridCol w:w="1500"/>
            <w:gridCol w:w="3500"/>
            <w:gridCol w:w="3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22">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23">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Contribution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24">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Limitation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Shin et al.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Systematic evaluation of LIME/SHAP for SDP; exposure of stability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Explanations not used to improve model or training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Haldar et al.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Quantitative explanation robustness metrics; cross-project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No mitigation strategy; limited dataset variety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Zheng et al.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LIME for JIT defect prediction; developer trust improvement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No SHAP; no module-level SDP; no model improvement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Schulte et al.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LIME vs. SHAP comparison for issue prediction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Not defect-prediction specific; explanations not fed 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Al-Smadi et al. [16]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SHAP global importance for SDP; revealing misleading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Diagnostic only; no data transformation or cross-project use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This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SHAP weights as cross-project data transformation; two-phase leakage-safe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Modest gains; limited to five projects; one source combination</w:t>
            </w:r>
            <w:r w:rsidDel="00000000" w:rsidR="00000000" w:rsidRPr="00000000">
              <w:rPr>
                <w:rtl w:val="0"/>
              </w:rPr>
            </w:r>
          </w:p>
        </w:tc>
      </w:tr>
    </w:tbl>
    <w:p w:rsidR="00000000" w:rsidDel="00000000" w:rsidP="00000000" w:rsidRDefault="00000000" w:rsidRPr="00000000" w14:paraId="00000037">
      <w:pPr>
        <w:spacing w:after="0" w:before="0" w:lineRule="auto"/>
        <w:rPr/>
      </w:pPr>
      <w:r w:rsidDel="00000000" w:rsidR="00000000" w:rsidRPr="00000000">
        <w:rPr>
          <w:rtl w:val="0"/>
        </w:rPr>
      </w:r>
    </w:p>
    <w:p w:rsidR="00000000" w:rsidDel="00000000" w:rsidP="00000000" w:rsidRDefault="00000000" w:rsidRPr="00000000" w14:paraId="00000038">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3. Methodology</w:t>
      </w:r>
      <w:r w:rsidDel="00000000" w:rsidR="00000000" w:rsidRPr="00000000">
        <w:rPr>
          <w:rtl w:val="0"/>
        </w:rPr>
      </w:r>
    </w:p>
    <w:p w:rsidR="00000000" w:rsidDel="00000000" w:rsidP="00000000" w:rsidRDefault="00000000" w:rsidRPr="00000000" w14:paraId="00000039">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Figure 1 illustrates the complete pipeline. The following subsections describe each stage in detail.</w:t>
      </w:r>
      <w:r w:rsidDel="00000000" w:rsidR="00000000" w:rsidRPr="00000000">
        <w:rPr>
          <w:rtl w:val="0"/>
        </w:rPr>
      </w:r>
    </w:p>
    <w:p w:rsidR="00000000" w:rsidDel="00000000" w:rsidP="00000000" w:rsidRDefault="00000000" w:rsidRPr="00000000" w14:paraId="0000003A">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3.1 Research Questions</w:t>
      </w:r>
      <w:r w:rsidDel="00000000" w:rsidR="00000000" w:rsidRPr="00000000">
        <w:rPr>
          <w:rtl w:val="0"/>
        </w:rPr>
      </w:r>
    </w:p>
    <w:p w:rsidR="00000000" w:rsidDel="00000000" w:rsidP="00000000" w:rsidRDefault="00000000" w:rsidRPr="00000000" w14:paraId="0000003B">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We investigate three research questions: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RQ1: Which classifiers achieve the most robust in-project performance across Eclipse JDT and Mylyn, as measured by F1-macro and ROC-AUC under 5-fold stratified cross-validation?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RQ2: Between the two best in-project performers, which model produces more stable and consistent local explanations under LIME, quantified by feature-weight standard deviation across random seeds?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RQ3: Does applying SHAP-derived feature weights (trained only on Phase 1 data) improve or stabilize classifier performance on the three held-out Phase 2 projects (Equinox, Lucene, PDE) compared to the unweighted baseline?</w:t>
      </w:r>
    </w:p>
    <w:p w:rsidR="00000000" w:rsidDel="00000000" w:rsidP="00000000" w:rsidRDefault="00000000" w:rsidRPr="00000000" w14:paraId="0000003F">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3.2 Datasets</w:t>
      </w:r>
      <w:r w:rsidDel="00000000" w:rsidR="00000000" w:rsidRPr="00000000">
        <w:rPr>
          <w:rtl w:val="0"/>
        </w:rPr>
      </w:r>
    </w:p>
    <w:p w:rsidR="00000000" w:rsidDel="00000000" w:rsidP="00000000" w:rsidRDefault="00000000" w:rsidRPr="00000000" w14:paraId="00000040">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We use the five Eclipse ecosystem bug-metric datasets published by D'Ambros et al. [26]. Each dataset contains class-level software metrics extracted from a major open-source project and a binary label indicating whether a class received post-release bug reports. Table 2 summarizes the dataset statistics.</w:t>
      </w:r>
      <w:r w:rsidDel="00000000" w:rsidR="00000000" w:rsidRPr="00000000">
        <w:rPr>
          <w:rtl w:val="0"/>
        </w:rPr>
      </w:r>
    </w:p>
    <w:p w:rsidR="00000000" w:rsidDel="00000000" w:rsidP="00000000" w:rsidRDefault="00000000" w:rsidRPr="00000000" w14:paraId="00000041">
      <w:pPr>
        <w:spacing w:after="12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Table 2. Dataset Statistics</w:t>
      </w:r>
      <w:r w:rsidDel="00000000" w:rsidR="00000000" w:rsidRPr="00000000">
        <w:rPr>
          <w:rtl w:val="0"/>
        </w:rPr>
      </w:r>
    </w:p>
    <w:tbl>
      <w:tblPr>
        <w:tblStyle w:val="Table2"/>
        <w:tblW w:w="7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000"/>
        <w:gridCol w:w="1000"/>
        <w:gridCol w:w="1000"/>
        <w:gridCol w:w="900"/>
        <w:gridCol w:w="900"/>
        <w:gridCol w:w="1300"/>
        <w:tblGridChange w:id="0">
          <w:tblGrid>
            <w:gridCol w:w="1400"/>
            <w:gridCol w:w="1000"/>
            <w:gridCol w:w="1000"/>
            <w:gridCol w:w="1000"/>
            <w:gridCol w:w="900"/>
            <w:gridCol w:w="900"/>
            <w:gridCol w:w="1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42">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43">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44">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Instances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45">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46">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Buggy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47">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Clean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48">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Imbalance Ratio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Eclipse JDT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Phase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997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5+label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206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791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3.84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Mylyn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Phase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1862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5+label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620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1242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Equinox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Phase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324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5+label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129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195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1.51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Lucene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Phase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691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5+label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9.80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Eclipse PDE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Phase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1497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5+label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209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1288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6.16</w:t>
            </w:r>
            <w:r w:rsidDel="00000000" w:rsidR="00000000" w:rsidRPr="00000000">
              <w:rPr>
                <w:rtl w:val="0"/>
              </w:rPr>
            </w:r>
          </w:p>
        </w:tc>
      </w:tr>
    </w:tbl>
    <w:p w:rsidR="00000000" w:rsidDel="00000000" w:rsidP="00000000" w:rsidRDefault="00000000" w:rsidRPr="00000000" w14:paraId="0000006C">
      <w:pPr>
        <w:spacing w:after="0" w:before="0" w:lineRule="auto"/>
        <w:rPr/>
      </w:pPr>
      <w:r w:rsidDel="00000000" w:rsidR="00000000" w:rsidRPr="00000000">
        <w:rPr>
          <w:rtl w:val="0"/>
        </w:rPr>
      </w:r>
    </w:p>
    <w:p w:rsidR="00000000" w:rsidDel="00000000" w:rsidP="00000000" w:rsidRDefault="00000000" w:rsidRPr="00000000" w14:paraId="0000006D">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five predictors retained after the feature selection step described in Section 3.3 are: numberOfBugsFoundUntil (NBFU), numberOfNonTrivialBugsFoundUntil (NNTBFU), numberOfMajorBugsFoundUntil (NMBFU), numberOfCriticalBugsFoundUntil (NCBFU), and numberOfHighPriorityBugsFoundUntil (NHPBFU). Four features containing directly derivable bug counts (nonTrivialBugs, majorBugs, criticalBugs, highPriorityBugs) were removed as leakage columns because they can be computed directly from the target variable.</w:t>
      </w:r>
      <w:r w:rsidDel="00000000" w:rsidR="00000000" w:rsidRPr="00000000">
        <w:rPr>
          <w:rtl w:val="0"/>
        </w:rPr>
      </w:r>
    </w:p>
    <w:p w:rsidR="00000000" w:rsidDel="00000000" w:rsidP="00000000" w:rsidRDefault="00000000" w:rsidRPr="00000000" w14:paraId="0000006E">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3.3 Preprocessing and Feature Selection</w:t>
      </w:r>
      <w:r w:rsidDel="00000000" w:rsidR="00000000" w:rsidRPr="00000000">
        <w:rPr>
          <w:rtl w:val="0"/>
        </w:rPr>
      </w:r>
    </w:p>
    <w:p w:rsidR="00000000" w:rsidDel="00000000" w:rsidP="00000000" w:rsidRDefault="00000000" w:rsidRPr="00000000" w14:paraId="0000006F">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Raw CSV files were loaded with semicolon delimiters and stripped of metadata columns (classname, Unnamed). Leakage columns derived from the target were removed first. The target was binarized as buggy = (bugs &gt; 0). For the Lucene project, four features with zero variance were dropped.</w:t>
      </w:r>
      <w:r w:rsidDel="00000000" w:rsidR="00000000" w:rsidRPr="00000000">
        <w:rPr>
          <w:rtl w:val="0"/>
        </w:rPr>
      </w:r>
    </w:p>
    <w:p w:rsidR="00000000" w:rsidDel="00000000" w:rsidP="00000000" w:rsidRDefault="00000000" w:rsidRPr="00000000" w14:paraId="00000070">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Variance Inflation Factor (VIF) analysis confirmed severe multicollinearity among cumulative bug-count features (VIF &gt; 200 for NBFU and NNTBFU across Eclipse and Equinox), consistent with their definition as running sums over a shared bug history. Rather than discarding these features, we retained all five predictors because their contribution to model interpretability is the central object of study. VIF results are summarized in Table 3.</w:t>
      </w:r>
      <w:r w:rsidDel="00000000" w:rsidR="00000000" w:rsidRPr="00000000">
        <w:rPr>
          <w:rtl w:val="0"/>
        </w:rPr>
      </w:r>
    </w:p>
    <w:p w:rsidR="00000000" w:rsidDel="00000000" w:rsidP="00000000" w:rsidRDefault="00000000" w:rsidRPr="00000000" w14:paraId="00000071">
      <w:pPr>
        <w:spacing w:after="12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Table 3. VIF Analysis Across Projects</w:t>
      </w:r>
      <w:r w:rsidDel="00000000" w:rsidR="00000000" w:rsidRPr="00000000">
        <w:rPr>
          <w:rtl w:val="0"/>
        </w:rPr>
      </w:r>
    </w:p>
    <w:tbl>
      <w:tblPr>
        <w:tblStyle w:val="Table3"/>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500"/>
        <w:gridCol w:w="3300"/>
        <w:tblGridChange w:id="0">
          <w:tblGrid>
            <w:gridCol w:w="2200"/>
            <w:gridCol w:w="1500"/>
            <w:gridCol w:w="1500"/>
            <w:gridCol w:w="3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72">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73">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Eclipse VIF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74">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Equinox VIF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75">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Interpretation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NBFU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211.45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265.51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Severe multicollinearity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NNTBFU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236.55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262.15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Severe multicollinearity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NMBFU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11.47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7.03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Moderate-high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NCBFU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5.15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4.30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Moderate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NHPBFU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1.86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1.40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Low</w:t>
            </w:r>
            <w:r w:rsidDel="00000000" w:rsidR="00000000" w:rsidRPr="00000000">
              <w:rPr>
                <w:rtl w:val="0"/>
              </w:rPr>
            </w:r>
          </w:p>
        </w:tc>
      </w:tr>
    </w:tbl>
    <w:p w:rsidR="00000000" w:rsidDel="00000000" w:rsidP="00000000" w:rsidRDefault="00000000" w:rsidRPr="00000000" w14:paraId="0000008A">
      <w:pPr>
        <w:spacing w:after="0" w:before="0" w:lineRule="auto"/>
        <w:rPr/>
      </w:pPr>
      <w:r w:rsidDel="00000000" w:rsidR="00000000" w:rsidRPr="00000000">
        <w:rPr>
          <w:rtl w:val="0"/>
        </w:rPr>
      </w:r>
    </w:p>
    <w:p w:rsidR="00000000" w:rsidDel="00000000" w:rsidP="00000000" w:rsidRDefault="00000000" w:rsidRPr="00000000" w14:paraId="0000008B">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Three preprocessing pipelines were used depending on the classifier family: Pipeline A (no transformation) for tree-based models (RandomForest, XGBoost, LightGBM, GradientBoosting, ExtraTrees); Pipeline B (log₁ₚ transform + RobustScaler + conditional SMOTE) for distance-sensitive classifiers (LogisticRegression, SVC, KNN). SMOTE was applied only when the training-fold imbalance ratio exceeded 2.0 and only within each training fold, never touching validation or test data. All preprocessing steps were fitted exclusively on the training partition of each fold and applied to the validation and test sets.</w:t>
      </w:r>
      <w:r w:rsidDel="00000000" w:rsidR="00000000" w:rsidRPr="00000000">
        <w:rPr>
          <w:rtl w:val="0"/>
        </w:rPr>
      </w:r>
    </w:p>
    <w:p w:rsidR="00000000" w:rsidDel="00000000" w:rsidP="00000000" w:rsidRDefault="00000000" w:rsidRPr="00000000" w14:paraId="0000008C">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80/20 stratified train-test split used a fixed random seed (42) to ensure reproducibility. Phase 1 cross-validation used 5-fold stratified KFold with the same seed.</w:t>
      </w:r>
      <w:r w:rsidDel="00000000" w:rsidR="00000000" w:rsidRPr="00000000">
        <w:rPr>
          <w:rtl w:val="0"/>
        </w:rPr>
      </w:r>
    </w:p>
    <w:p w:rsidR="00000000" w:rsidDel="00000000" w:rsidP="00000000" w:rsidRDefault="00000000" w:rsidRPr="00000000" w14:paraId="0000008D">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3.4 Classifiers</w:t>
      </w:r>
      <w:r w:rsidDel="00000000" w:rsidR="00000000" w:rsidRPr="00000000">
        <w:rPr>
          <w:rtl w:val="0"/>
        </w:rPr>
      </w:r>
    </w:p>
    <w:p w:rsidR="00000000" w:rsidDel="00000000" w:rsidP="00000000" w:rsidRDefault="00000000" w:rsidRPr="00000000" w14:paraId="0000008E">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Eight classifiers were evaluated: RandomForest (n=300, class_weight=balanced), XGBoost (n=300, scale_pos_weight=IR), LightGBM (n=300, class_weight=balanced), GradientBoosting (n=200, sample_weight=balanced), ExtraTrees (n=300, class_weight=balanced), LogisticRegression (C=1.0, class_weight=balanced, max_iter=1000), SVC (RBF kernel, C=1.0, probability=True, class_weight=balanced), and KNN (k=7, Euclidean distance). All random states were set to 42.</w:t>
      </w:r>
      <w:r w:rsidDel="00000000" w:rsidR="00000000" w:rsidRPr="00000000">
        <w:rPr>
          <w:rtl w:val="0"/>
        </w:rPr>
      </w:r>
    </w:p>
    <w:p w:rsidR="00000000" w:rsidDel="00000000" w:rsidP="00000000" w:rsidRDefault="00000000" w:rsidRPr="00000000" w14:paraId="0000008F">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3.5 LIME Local Explanations</w:t>
      </w:r>
      <w:r w:rsidDel="00000000" w:rsidR="00000000" w:rsidRPr="00000000">
        <w:rPr>
          <w:rtl w:val="0"/>
        </w:rPr>
      </w:r>
    </w:p>
    <w:p w:rsidR="00000000" w:rsidDel="00000000" w:rsidP="00000000" w:rsidRDefault="00000000" w:rsidRPr="00000000" w14:paraId="00000090">
      <w:pPr>
        <w:spacing w:after="80" w:before="80" w:line="276" w:lineRule="auto"/>
        <w:jc w:val="both"/>
        <w:rPr/>
      </w:pPr>
      <w:r w:rsidDel="00000000" w:rsidR="00000000" w:rsidRPr="00000000">
        <w:rPr>
          <w:rFonts w:ascii="Gungsuh" w:cs="Gungsuh" w:eastAsia="Gungsuh" w:hAnsi="Gungsuh"/>
          <w:sz w:val="24"/>
          <w:szCs w:val="24"/>
          <w:rtl w:val="0"/>
        </w:rPr>
        <w:t xml:space="preserve">LIME explanations were generated for the top two Phase 1 classifiers using LimeTabularExplainer with discretize_continuous=False, sample_around_instance=True, and num_samples=5000. Explanations were generated for three representative test instances: the instance assigned the highest predicted defect probability (confidently buggy), the instance assigned the lowest probability (confidently clean), and the instance closest to the decision boundary (borderline, P(buggy) ≈ 0.5).</w:t>
      </w:r>
      <w:r w:rsidDel="00000000" w:rsidR="00000000" w:rsidRPr="00000000">
        <w:rPr>
          <w:rtl w:val="0"/>
        </w:rPr>
      </w:r>
    </w:p>
    <w:p w:rsidR="00000000" w:rsidDel="00000000" w:rsidP="00000000" w:rsidRDefault="00000000" w:rsidRPr="00000000" w14:paraId="00000091">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To quantify explanation stability, we ran LIME with three different random seeds (42, 123, 999) on the confidently buggy instance for each top-2 model on each Phase 1 dataset. For each feature j, we computed the standard deviation of its LIME weight across the three runs:</w:t>
      </w:r>
      <w:r w:rsidDel="00000000" w:rsidR="00000000" w:rsidRPr="00000000">
        <w:rPr>
          <w:rtl w:val="0"/>
        </w:rPr>
      </w:r>
    </w:p>
    <w:p w:rsidR="00000000" w:rsidDel="00000000" w:rsidP="00000000" w:rsidRDefault="00000000" w:rsidRPr="00000000" w14:paraId="00000092">
      <w:pPr>
        <w:spacing w:after="80" w:before="80" w:line="276" w:lineRule="auto"/>
        <w:jc w:val="both"/>
        <w:rPr/>
      </w:pPr>
      <w:r w:rsidDel="00000000" w:rsidR="00000000" w:rsidRPr="00000000">
        <w:rPr>
          <w:rFonts w:ascii="Cardo" w:cs="Cardo" w:eastAsia="Cardo" w:hAnsi="Cardo"/>
          <w:sz w:val="24"/>
          <w:szCs w:val="24"/>
          <w:rtl w:val="0"/>
        </w:rPr>
        <w:t xml:space="preserve">    σ_j = std({ w_j(seed) : seed ∈ {42, 123, 999} })</w:t>
      </w:r>
      <w:r w:rsidDel="00000000" w:rsidR="00000000" w:rsidRPr="00000000">
        <w:rPr>
          <w:rtl w:val="0"/>
        </w:rPr>
      </w:r>
    </w:p>
    <w:p w:rsidR="00000000" w:rsidDel="00000000" w:rsidP="00000000" w:rsidRDefault="00000000" w:rsidRPr="00000000" w14:paraId="00000093">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mean feature-weight standard deviation (σ̄) across all features was used as the aggregate stability metric. A lower σ̄ indicates more consistent local explanations.</w:t>
      </w:r>
      <w:r w:rsidDel="00000000" w:rsidR="00000000" w:rsidRPr="00000000">
        <w:rPr>
          <w:rtl w:val="0"/>
        </w:rPr>
      </w:r>
    </w:p>
    <w:p w:rsidR="00000000" w:rsidDel="00000000" w:rsidP="00000000" w:rsidRDefault="00000000" w:rsidRPr="00000000" w14:paraId="00000094">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3.6 SHAP Global Analysis and Weighting</w:t>
      </w:r>
      <w:r w:rsidDel="00000000" w:rsidR="00000000" w:rsidRPr="00000000">
        <w:rPr>
          <w:rtl w:val="0"/>
        </w:rPr>
      </w:r>
    </w:p>
    <w:p w:rsidR="00000000" w:rsidDel="00000000" w:rsidP="00000000" w:rsidRDefault="00000000" w:rsidRPr="00000000" w14:paraId="00000095">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best Phase 1 classifier (by mean CV F1-macro) was used to derive SHAP global feature importance. For tree-based models, shap.TreeExplainer was used; for linear models, shap.LinearExplainer; for kernel-based models, shap.KernelExplainer with a background sample of 100 training instances.</w:t>
      </w:r>
      <w:r w:rsidDel="00000000" w:rsidR="00000000" w:rsidRPr="00000000">
        <w:rPr>
          <w:rtl w:val="0"/>
        </w:rPr>
      </w:r>
    </w:p>
    <w:p w:rsidR="00000000" w:rsidDel="00000000" w:rsidP="00000000" w:rsidRDefault="00000000" w:rsidRPr="00000000" w14:paraId="00000096">
      <w:pPr>
        <w:spacing w:after="80" w:before="8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Critical: </w:t>
      </w:r>
      <w:r w:rsidDel="00000000" w:rsidR="00000000" w:rsidRPr="00000000">
        <w:rPr>
          <w:rFonts w:ascii="Times New Roman" w:cs="Times New Roman" w:eastAsia="Times New Roman" w:hAnsi="Times New Roman"/>
          <w:sz w:val="24"/>
          <w:szCs w:val="24"/>
          <w:rtl w:val="0"/>
        </w:rPr>
        <w:t xml:space="preserve">SHAP values were computed on X_test to derive the SHAP weights for Phase 1. We acknowledge this introduces a mild within-project leakage risk, since test-set information influences the weight vector. We treat this as a limitation (Section 5.2) and note that a fully leakage-safe implementation would compute SHAP on out-of-fold training predictions. For the cross-project Phase 2 experiments, this risk is bounded because the weight vector is applied to entirely different projects with no overlapping instances.</w:t>
      </w:r>
      <w:r w:rsidDel="00000000" w:rsidR="00000000" w:rsidRPr="00000000">
        <w:rPr>
          <w:rtl w:val="0"/>
        </w:rPr>
      </w:r>
    </w:p>
    <w:p w:rsidR="00000000" w:rsidDel="00000000" w:rsidP="00000000" w:rsidRDefault="00000000" w:rsidRPr="00000000" w14:paraId="00000097">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SHAP weighting procedure is defined formally as follows. Let SHAPᵈᵢⱼ denote the SHAP value of feature j for test instance i in dataset d ∈ {eclipse, mylyn}. The per-dataset, per-feature importance score is:</w:t>
      </w:r>
      <w:r w:rsidDel="00000000" w:rsidR="00000000" w:rsidRPr="00000000">
        <w:rPr>
          <w:rtl w:val="0"/>
        </w:rPr>
      </w:r>
    </w:p>
    <w:p w:rsidR="00000000" w:rsidDel="00000000" w:rsidP="00000000" w:rsidRDefault="00000000" w:rsidRPr="00000000" w14:paraId="00000098">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    μ_d,j = (1/N_d) × Σ_i |SHAPᵈᵢⱼ|</w:t>
      </w:r>
      <w:r w:rsidDel="00000000" w:rsidR="00000000" w:rsidRPr="00000000">
        <w:rPr>
          <w:rtl w:val="0"/>
        </w:rPr>
      </w:r>
    </w:p>
    <w:p w:rsidR="00000000" w:rsidDel="00000000" w:rsidP="00000000" w:rsidRDefault="00000000" w:rsidRPr="00000000" w14:paraId="00000099">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This is normalized to sum to 1 within each dataset:</w:t>
      </w:r>
      <w:r w:rsidDel="00000000" w:rsidR="00000000" w:rsidRPr="00000000">
        <w:rPr>
          <w:rtl w:val="0"/>
        </w:rPr>
      </w:r>
    </w:p>
    <w:p w:rsidR="00000000" w:rsidDel="00000000" w:rsidP="00000000" w:rsidRDefault="00000000" w:rsidRPr="00000000" w14:paraId="0000009A">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    ŵ_d,j = μ_d,j / Σ_k μ_d,k</w:t>
      </w:r>
      <w:r w:rsidDel="00000000" w:rsidR="00000000" w:rsidRPr="00000000">
        <w:rPr>
          <w:rtl w:val="0"/>
        </w:rPr>
      </w:r>
    </w:p>
    <w:p w:rsidR="00000000" w:rsidDel="00000000" w:rsidP="00000000" w:rsidRDefault="00000000" w:rsidRPr="00000000" w14:paraId="0000009B">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averaged weight vector is computed across the two Phase 1 datasets:</w:t>
      </w:r>
      <w:r w:rsidDel="00000000" w:rsidR="00000000" w:rsidRPr="00000000">
        <w:rPr>
          <w:rtl w:val="0"/>
        </w:rPr>
      </w:r>
    </w:p>
    <w:p w:rsidR="00000000" w:rsidDel="00000000" w:rsidP="00000000" w:rsidRDefault="00000000" w:rsidRPr="00000000" w14:paraId="0000009C">
      <w:pPr>
        <w:spacing w:after="80" w:before="80" w:line="276" w:lineRule="auto"/>
        <w:jc w:val="both"/>
        <w:rPr/>
      </w:pPr>
      <w:r w:rsidDel="00000000" w:rsidR="00000000" w:rsidRPr="00000000">
        <w:rPr>
          <w:rFonts w:ascii="Cardo" w:cs="Cardo" w:eastAsia="Cardo" w:hAnsi="Cardo"/>
          <w:sz w:val="24"/>
          <w:szCs w:val="24"/>
          <w:rtl w:val="0"/>
        </w:rPr>
        <w:t xml:space="preserve">    w_j = (1/|D|) × Σ_{d∈D} ŵ_d,j</w:t>
      </w:r>
      <w:r w:rsidDel="00000000" w:rsidR="00000000" w:rsidRPr="00000000">
        <w:rPr>
          <w:rtl w:val="0"/>
        </w:rPr>
      </w:r>
    </w:p>
    <w:p w:rsidR="00000000" w:rsidDel="00000000" w:rsidP="00000000" w:rsidRDefault="00000000" w:rsidRPr="00000000" w14:paraId="0000009D">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resulting averaged SHAP weights are shown in Table 4.</w:t>
      </w:r>
      <w:r w:rsidDel="00000000" w:rsidR="00000000" w:rsidRPr="00000000">
        <w:rPr>
          <w:rtl w:val="0"/>
        </w:rPr>
      </w:r>
    </w:p>
    <w:p w:rsidR="00000000" w:rsidDel="00000000" w:rsidP="00000000" w:rsidRDefault="00000000" w:rsidRPr="00000000" w14:paraId="0000009E">
      <w:pPr>
        <w:spacing w:after="12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Table 4. Averaged SHAP Feature Weights (Phase 1)</w:t>
      </w:r>
      <w:r w:rsidDel="00000000" w:rsidR="00000000" w:rsidRPr="00000000">
        <w:rPr>
          <w:rtl w:val="0"/>
        </w:rPr>
      </w:r>
    </w:p>
    <w:tbl>
      <w:tblPr>
        <w:tblStyle w:val="Table4"/>
        <w:tblW w:w="7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1500"/>
        <w:gridCol w:w="2000"/>
        <w:tblGridChange w:id="0">
          <w:tblGrid>
            <w:gridCol w:w="2500"/>
            <w:gridCol w:w="1500"/>
            <w:gridCol w:w="150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9F">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A0">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Eclipse 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A1">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Mylyn 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A2">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Averaged Weight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NBFU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0.5032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0.4267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0.4649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NMBFU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0.1786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0.1500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0.1643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NHPBFU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0.0387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0.2818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0.1603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NNTBFU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0.2095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0.0936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0.1515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NCBFU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0.0701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0.0479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0.0590</w:t>
            </w:r>
            <w:r w:rsidDel="00000000" w:rsidR="00000000" w:rsidRPr="00000000">
              <w:rPr>
                <w:rtl w:val="0"/>
              </w:rPr>
            </w:r>
          </w:p>
        </w:tc>
      </w:tr>
    </w:tbl>
    <w:p w:rsidR="00000000" w:rsidDel="00000000" w:rsidP="00000000" w:rsidRDefault="00000000" w:rsidRPr="00000000" w14:paraId="000000B7">
      <w:pPr>
        <w:spacing w:after="0" w:before="0" w:lineRule="auto"/>
        <w:rPr/>
      </w:pPr>
      <w:r w:rsidDel="00000000" w:rsidR="00000000" w:rsidRPr="00000000">
        <w:rPr>
          <w:rtl w:val="0"/>
        </w:rPr>
      </w:r>
    </w:p>
    <w:p w:rsidR="00000000" w:rsidDel="00000000" w:rsidP="00000000" w:rsidRDefault="00000000" w:rsidRPr="00000000" w14:paraId="000000B8">
      <w:pPr>
        <w:spacing w:after="80" w:before="80" w:line="276" w:lineRule="auto"/>
        <w:jc w:val="both"/>
        <w:rPr/>
      </w:pPr>
      <w:r w:rsidDel="00000000" w:rsidR="00000000" w:rsidRPr="00000000">
        <w:rPr>
          <w:rFonts w:ascii="Gungsuh" w:cs="Gungsuh" w:eastAsia="Gungsuh" w:hAnsi="Gungsuh"/>
          <w:sz w:val="24"/>
          <w:szCs w:val="24"/>
          <w:rtl w:val="0"/>
        </w:rPr>
        <w:t xml:space="preserve">For each Phase 2 project, the raw feature matrix X ∈ ℝ^{N×F} is aligned to the five shared features, then multiplied element-wise by the weight vector:</w:t>
      </w:r>
      <w:r w:rsidDel="00000000" w:rsidR="00000000" w:rsidRPr="00000000">
        <w:rPr>
          <w:rtl w:val="0"/>
        </w:rPr>
      </w:r>
    </w:p>
    <w:p w:rsidR="00000000" w:rsidDel="00000000" w:rsidP="00000000" w:rsidRDefault="00000000" w:rsidRPr="00000000" w14:paraId="000000B9">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    x’_{i,j} = x_{i,j} × w_j</w:t>
      </w:r>
      <w:r w:rsidDel="00000000" w:rsidR="00000000" w:rsidRPr="00000000">
        <w:rPr>
          <w:rtl w:val="0"/>
        </w:rPr>
      </w:r>
    </w:p>
    <w:p w:rsidR="00000000" w:rsidDel="00000000" w:rsidP="00000000" w:rsidRDefault="00000000" w:rsidRPr="00000000" w14:paraId="000000BA">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This transformation preserves the original feature space dimensionality and requires no label information from the target project. The resulting matrices are referred to as SHAP-weighted datasets. Phase 2 classifiers are trained on the weighted training split and evaluated on the weighted test split under the same 80/20 stratified split and 5-fold CV protocol as Phase 1.</w:t>
      </w:r>
      <w:r w:rsidDel="00000000" w:rsidR="00000000" w:rsidRPr="00000000">
        <w:rPr>
          <w:rtl w:val="0"/>
        </w:rPr>
      </w:r>
    </w:p>
    <w:p w:rsidR="00000000" w:rsidDel="00000000" w:rsidP="00000000" w:rsidRDefault="00000000" w:rsidRPr="00000000" w14:paraId="000000BB">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3.7 Proposed Algorithm (Pseudocode)</w:t>
      </w:r>
      <w:r w:rsidDel="00000000" w:rsidR="00000000" w:rsidRPr="00000000">
        <w:rPr>
          <w:rtl w:val="0"/>
        </w:rPr>
      </w:r>
    </w:p>
    <w:p w:rsidR="00000000" w:rsidDel="00000000" w:rsidP="00000000" w:rsidRDefault="00000000" w:rsidRPr="00000000" w14:paraId="000000BC">
      <w:pPr>
        <w:spacing w:after="60" w:before="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Algorithm 1: SHAP-Guided Cross-Project SDP Pipeline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Phase 1 datasets {D₁,...,D_k}, Phase 2 datasets {T₁,...,T_m}, classifier set C</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Performance comparison (original vs. SHAP-weighted) on all Phase 2 datasets</w:t>
      </w:r>
    </w:p>
    <w:p w:rsidR="00000000" w:rsidDel="00000000" w:rsidP="00000000" w:rsidRDefault="00000000" w:rsidRPr="00000000" w14:paraId="000000BF">
      <w:pPr>
        <w:spacing w:after="0" w:before="0" w:lineRule="auto"/>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1: In-Project Evaluation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dataset D_d in Phase 1:</w:t>
      </w:r>
    </w:p>
    <w:p w:rsidR="00000000" w:rsidDel="00000000" w:rsidP="00000000" w:rsidRDefault="00000000" w:rsidRPr="00000000" w14:paraId="000000C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Split D_d into train (80%) and test (20%) using stratified split (seed=42)</w:t>
      </w:r>
    </w:p>
    <w:p w:rsidR="00000000" w:rsidDel="00000000" w:rsidP="00000000" w:rsidRDefault="00000000" w:rsidRPr="00000000" w14:paraId="000000C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fold f in 5-fold stratified CV on train split:</w:t>
      </w:r>
    </w:p>
    <w:p w:rsidR="00000000" w:rsidDel="00000000" w:rsidP="00000000" w:rsidRDefault="00000000" w:rsidRPr="00000000" w14:paraId="000000C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40" w:before="40" w:line="276"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Pipeline A or B to fold training data only</w:t>
      </w:r>
    </w:p>
    <w:p w:rsidR="00000000" w:rsidDel="00000000" w:rsidP="00000000" w:rsidRDefault="00000000" w:rsidRPr="00000000" w14:paraId="000000C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40" w:before="40" w:line="276" w:lineRule="auto"/>
        <w:ind w:left="144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Train classifier c ∈ C; record F1-macro, ROC-AUC (mean ± std)</w:t>
      </w:r>
    </w:p>
    <w:p w:rsidR="00000000" w:rsidDel="00000000" w:rsidP="00000000" w:rsidRDefault="00000000" w:rsidRPr="00000000" w14:paraId="000000C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best model B_d by mean CV F1-macro</w:t>
      </w:r>
    </w:p>
    <w:p w:rsidR="00000000" w:rsidDel="00000000" w:rsidP="00000000" w:rsidRDefault="00000000" w:rsidRPr="00000000" w14:paraId="000000C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 B_d on full train split; compute SHAP values on test split</w:t>
      </w:r>
    </w:p>
    <w:p w:rsidR="00000000" w:rsidDel="00000000" w:rsidP="00000000" w:rsidRDefault="00000000" w:rsidRPr="00000000" w14:paraId="000000C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normalized mean absolute SHAP weights ŵ_d</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Average weights: w = mean({ŵ_d : d ∈ Phase1})</w:t>
      </w:r>
    </w:p>
    <w:p w:rsidR="00000000" w:rsidDel="00000000" w:rsidP="00000000" w:rsidRDefault="00000000" w:rsidRPr="00000000" w14:paraId="000000CA">
      <w:pPr>
        <w:spacing w:after="0" w:before="0" w:lineRule="auto"/>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2: Cross-Project Evaluation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unseen project T_t in Phase 2:</w:t>
      </w:r>
    </w:p>
    <w:p w:rsidR="00000000" w:rsidDel="00000000" w:rsidP="00000000" w:rsidRDefault="00000000" w:rsidRPr="00000000" w14:paraId="000000C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Split T_t into train_t and test_t (stratified 80/20, seed=42)</w:t>
      </w:r>
    </w:p>
    <w:p w:rsidR="00000000" w:rsidDel="00000000" w:rsidP="00000000" w:rsidRDefault="00000000" w:rsidRPr="00000000" w14:paraId="000000C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X_orig = T_t (aligned features)</w:t>
      </w:r>
    </w:p>
    <w:p w:rsidR="00000000" w:rsidDel="00000000" w:rsidP="00000000" w:rsidRDefault="00000000" w:rsidRPr="00000000" w14:paraId="000000C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X_weighted = X_orig × diag(w) (element-wise column scaling)</w:t>
      </w:r>
    </w:p>
    <w:p w:rsidR="00000000" w:rsidDel="00000000" w:rsidP="00000000" w:rsidRDefault="00000000" w:rsidRPr="00000000" w14:paraId="000000D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variant in {original, shap_weighted}:</w:t>
      </w:r>
    </w:p>
    <w:p w:rsidR="00000000" w:rsidDel="00000000" w:rsidP="00000000" w:rsidRDefault="00000000" w:rsidRPr="00000000" w14:paraId="000000D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40" w:before="40" w:line="276" w:lineRule="auto"/>
        <w:ind w:left="144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Train each classifier c ∈ C on train_t variant</w:t>
      </w:r>
    </w:p>
    <w:p w:rsidR="00000000" w:rsidDel="00000000" w:rsidP="00000000" w:rsidRDefault="00000000" w:rsidRPr="00000000" w14:paraId="000000D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40" w:before="40" w:line="276"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on test_t variant: F1-macro, ROC-AUC, PR-AUC</w:t>
      </w:r>
    </w:p>
    <w:p w:rsidR="00000000" w:rsidDel="00000000" w:rsidP="00000000" w:rsidRDefault="00000000" w:rsidRPr="00000000" w14:paraId="000000D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Report delta = metric(shap_weighted) − metric(original)</w:t>
      </w:r>
    </w:p>
    <w:p w:rsidR="00000000" w:rsidDel="00000000" w:rsidP="00000000" w:rsidRDefault="00000000" w:rsidRPr="00000000" w14:paraId="000000D4">
      <w:pPr>
        <w:spacing w:after="0" w:before="0" w:lineRule="auto"/>
        <w:rPr/>
      </w:pPr>
      <w:r w:rsidDel="00000000" w:rsidR="00000000" w:rsidRPr="00000000">
        <w:rPr>
          <w:rtl w:val="0"/>
        </w:rPr>
      </w:r>
    </w:p>
    <w:p w:rsidR="00000000" w:rsidDel="00000000" w:rsidP="00000000" w:rsidRDefault="00000000" w:rsidRPr="00000000" w14:paraId="000000D5">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4. Experimental Results</w:t>
      </w:r>
      <w:r w:rsidDel="00000000" w:rsidR="00000000" w:rsidRPr="00000000">
        <w:rPr>
          <w:rtl w:val="0"/>
        </w:rPr>
      </w:r>
    </w:p>
    <w:p w:rsidR="00000000" w:rsidDel="00000000" w:rsidP="00000000" w:rsidRDefault="00000000" w:rsidRPr="00000000" w14:paraId="000000D6">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This section reports results for all three research questions. All experiments used seed=42, 5-fold stratified CV, and an 80/20 test split. Standard deviations are reported for CV results. Test-set metrics are point estimates on a held-out set.</w:t>
      </w:r>
      <w:r w:rsidDel="00000000" w:rsidR="00000000" w:rsidRPr="00000000">
        <w:rPr>
          <w:rtl w:val="0"/>
        </w:rPr>
      </w:r>
    </w:p>
    <w:p w:rsidR="00000000" w:rsidDel="00000000" w:rsidP="00000000" w:rsidRDefault="00000000" w:rsidRPr="00000000" w14:paraId="000000D7">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4.1 RQ1: Phase 1 In-Project Classifier Performance</w:t>
      </w:r>
      <w:r w:rsidDel="00000000" w:rsidR="00000000" w:rsidRPr="00000000">
        <w:rPr>
          <w:rtl w:val="0"/>
        </w:rPr>
      </w:r>
    </w:p>
    <w:p w:rsidR="00000000" w:rsidDel="00000000" w:rsidP="00000000" w:rsidRDefault="00000000" w:rsidRPr="00000000" w14:paraId="000000D8">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Table 5 reports 5-fold CV performance on Eclipse JDT. GradientBoosting achieved the highest mean F1-macro (0.723 ± 0.021), followed by SVC (0.709 ± 0.018) and KNN (0.704 ± 0.025). Logistic Regression showed the highest ROC-AUC (0.784), reflecting strong probability calibration. Tree-based ensemble methods (ExtraTrees, LightGBM, RandomForest, XGBoost) performed below 0.63 in F1-macro, likely because their internal class-imbalance handling via class weights is less effective on the smaller Eclipse training set than SMOTE-augmented logistic models.</w:t>
      </w:r>
      <w:r w:rsidDel="00000000" w:rsidR="00000000" w:rsidRPr="00000000">
        <w:rPr>
          <w:rtl w:val="0"/>
        </w:rPr>
      </w:r>
    </w:p>
    <w:p w:rsidR="00000000" w:rsidDel="00000000" w:rsidP="00000000" w:rsidRDefault="00000000" w:rsidRPr="00000000" w14:paraId="000000D9">
      <w:pPr>
        <w:spacing w:after="12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Table 5. 5-Fold CV Results — Eclipse JDT (Phase 1, seed=42)</w:t>
      </w:r>
      <w:r w:rsidDel="00000000" w:rsidR="00000000" w:rsidRPr="00000000">
        <w:rPr>
          <w:rtl w:val="0"/>
        </w:rPr>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200"/>
        <w:gridCol w:w="2000"/>
        <w:gridCol w:w="1100"/>
        <w:tblGridChange w:id="0">
          <w:tblGrid>
            <w:gridCol w:w="2000"/>
            <w:gridCol w:w="2200"/>
            <w:gridCol w:w="2200"/>
            <w:gridCol w:w="2000"/>
            <w:gridCol w:w="11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DA">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DB">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F1-macro (mean ± std)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DC">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ROC-AUC (mean ± std)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DD">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PR-AUC (mean ± std)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0DE">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Pipeline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GradientBoosting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0.7236 ± 0.021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0.7464 ± 0.019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0.5225 ± 0.038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0.7087 ± 0.018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0.7719 ± 0.022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0.5951 ± 0.041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0.7036 ± 0.025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0.7546 ± 0.017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0.5726 ± 0.036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LogisticRegression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0.7011 ± 0.023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0.7843 ± 0.020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0.6271 ± 0.039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ExtraTrees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0.6293 ± 0.027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0.7199 ± 0.025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0.3882 ± 0.047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LightGBM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0.6230 ± 0.031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0.7309 ± 0.018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0.4660 ± 0.052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RandomForest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0.6190 ± 0.029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0.7243 ± 0.021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0.4711 ± 0.049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0.6129 ±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0.6831 ± 0.028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0.4528 ± 0.055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A</w:t>
            </w:r>
            <w:r w:rsidDel="00000000" w:rsidR="00000000" w:rsidRPr="00000000">
              <w:rPr>
                <w:rtl w:val="0"/>
              </w:rPr>
            </w:r>
          </w:p>
        </w:tc>
      </w:tr>
    </w:tbl>
    <w:p w:rsidR="00000000" w:rsidDel="00000000" w:rsidP="00000000" w:rsidRDefault="00000000" w:rsidRPr="00000000" w14:paraId="00000107">
      <w:pPr>
        <w:spacing w:after="0" w:before="0" w:lineRule="auto"/>
        <w:rPr/>
      </w:pPr>
      <w:r w:rsidDel="00000000" w:rsidR="00000000" w:rsidRPr="00000000">
        <w:rPr>
          <w:rtl w:val="0"/>
        </w:rPr>
      </w:r>
    </w:p>
    <w:p w:rsidR="00000000" w:rsidDel="00000000" w:rsidP="00000000" w:rsidRDefault="00000000" w:rsidRPr="00000000" w14:paraId="00000108">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Table 6 reports results on Mylyn. SVC was the strongest classifier (F1 = 0.620 ± 0.024, ROC-AUC = 0.760), followed by KNN (F1 = 0.613 ± 0.028) and GradientBoosting (F1 = 0.598 ± 0.031). Mylyn is a larger dataset with a lower imbalance ratio (2.00), which benefits distance-sensitive classifiers less reliant on SMOTE. Overall F1-macro values are lower on Mylyn than on Eclipse, suggesting greater intra-project heterogeneity.</w:t>
      </w:r>
      <w:r w:rsidDel="00000000" w:rsidR="00000000" w:rsidRPr="00000000">
        <w:rPr>
          <w:rtl w:val="0"/>
        </w:rPr>
      </w:r>
    </w:p>
    <w:p w:rsidR="00000000" w:rsidDel="00000000" w:rsidP="00000000" w:rsidRDefault="00000000" w:rsidRPr="00000000" w14:paraId="00000109">
      <w:pPr>
        <w:spacing w:after="12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Table 6. 5-Fold CV Results — Mylyn (Phase 1, seed=42)</w:t>
      </w:r>
      <w:r w:rsidDel="00000000" w:rsidR="00000000" w:rsidRPr="00000000">
        <w:rPr>
          <w:rtl w:val="0"/>
        </w:rPr>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200"/>
        <w:gridCol w:w="2000"/>
        <w:gridCol w:w="1100"/>
        <w:tblGridChange w:id="0">
          <w:tblGrid>
            <w:gridCol w:w="2000"/>
            <w:gridCol w:w="2200"/>
            <w:gridCol w:w="2200"/>
            <w:gridCol w:w="2000"/>
            <w:gridCol w:w="11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0A">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0B">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F1-macro (mean ± std)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0C">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ROC-AUC (mean ± std)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0D">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PR-AUC (mean ± std)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0E">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Pipeline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0.6200 ± 0.024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0.7598 ± 0.026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0.3318 ± 0.044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0.6131 ± 0.028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0.6451 ± 0.031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0.2258 ± 0.039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GradientBoosting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0.5977 ± 0.031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0.6609 ± 0.029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0.2553 ± 0.042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LogisticRegression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1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0.5651 ± 0.035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0.7208 ± 0.022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0.3065 ± 0.048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RandomForest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0.5528 ±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0.6060 ± 0.027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0.1844 ± 0.036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0.5523 ± 0.038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0.5745 ±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0.2206 ± 0.051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LightGBM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0.5516 ± 0.036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2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0.6109 ±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0.1914 ± 0.043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ExtraTrees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0.5470 ± 0.040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0.5747 ± 0.035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0.1541 ± 0.039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3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A</w:t>
            </w:r>
            <w:r w:rsidDel="00000000" w:rsidR="00000000" w:rsidRPr="00000000">
              <w:rPr>
                <w:rtl w:val="0"/>
              </w:rPr>
            </w:r>
          </w:p>
        </w:tc>
      </w:tr>
    </w:tbl>
    <w:p w:rsidR="00000000" w:rsidDel="00000000" w:rsidP="00000000" w:rsidRDefault="00000000" w:rsidRPr="00000000" w14:paraId="00000137">
      <w:pPr>
        <w:spacing w:after="0" w:before="0" w:lineRule="auto"/>
        <w:rPr/>
      </w:pPr>
      <w:r w:rsidDel="00000000" w:rsidR="00000000" w:rsidRPr="00000000">
        <w:rPr>
          <w:rtl w:val="0"/>
        </w:rPr>
      </w:r>
    </w:p>
    <w:p w:rsidR="00000000" w:rsidDel="00000000" w:rsidP="00000000" w:rsidRDefault="00000000" w:rsidRPr="00000000" w14:paraId="00000138">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Answer to RQ1: GradientBoosting is the most robust model on Eclipse JDT. SVC is the most robust on Mylyn. Aggregating across both datasets, SVC and GradientBoosting are the two top performers and are selected for LIME analysis in Section 4.2.</w:t>
      </w:r>
      <w:r w:rsidDel="00000000" w:rsidR="00000000" w:rsidRPr="00000000">
        <w:rPr>
          <w:rtl w:val="0"/>
        </w:rPr>
      </w:r>
    </w:p>
    <w:p w:rsidR="00000000" w:rsidDel="00000000" w:rsidP="00000000" w:rsidRDefault="00000000" w:rsidRPr="00000000" w14:paraId="00000139">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4.2 RQ2: LIME Stability Analysis</w:t>
      </w:r>
      <w:r w:rsidDel="00000000" w:rsidR="00000000" w:rsidRPr="00000000">
        <w:rPr>
          <w:rtl w:val="0"/>
        </w:rPr>
      </w:r>
    </w:p>
    <w:p w:rsidR="00000000" w:rsidDel="00000000" w:rsidP="00000000" w:rsidRDefault="00000000" w:rsidRPr="00000000" w14:paraId="0000013A">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LIME explanations were generated for GradientBoosting and SVC on three representative test instances per Phase 1 dataset. Stability was quantified as the mean standard deviation of feature weights across three random seeds (42, 123, 999) for the confidently buggy instance.</w:t>
      </w:r>
      <w:r w:rsidDel="00000000" w:rsidR="00000000" w:rsidRPr="00000000">
        <w:rPr>
          <w:rtl w:val="0"/>
        </w:rPr>
      </w:r>
    </w:p>
    <w:p w:rsidR="00000000" w:rsidDel="00000000" w:rsidP="00000000" w:rsidRDefault="00000000" w:rsidRPr="00000000" w14:paraId="0000013B">
      <w:pPr>
        <w:spacing w:after="12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Table 7. LIME Stability: Mean Feature-Weight Std (σ̄) Across Seeds</w:t>
      </w:r>
      <w:r w:rsidDel="00000000" w:rsidR="00000000" w:rsidRPr="00000000">
        <w:rPr>
          <w:rtl w:val="0"/>
        </w:rPr>
      </w:r>
    </w:p>
    <w:tbl>
      <w:tblPr>
        <w:tblStyle w:val="Table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700"/>
        <w:gridCol w:w="3000"/>
        <w:tblGridChange w:id="0">
          <w:tblGrid>
            <w:gridCol w:w="1800"/>
            <w:gridCol w:w="2000"/>
            <w:gridCol w:w="27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3C">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3D">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3E">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σ̄ (lower = more stable)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3F">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Assessment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Eclipse JDT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GradientBoosting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Stable: NBFU and NNTBFU consistently dominant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Eclipse JDT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Less stable: weight shifts between NBFU and NCBFU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Mylyn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Moderate: NBFU and NHPBFU share prominence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Mylyn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4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Less stable: feature attribution varies across seeds</w:t>
            </w:r>
            <w:r w:rsidDel="00000000" w:rsidR="00000000" w:rsidRPr="00000000">
              <w:rPr>
                <w:rtl w:val="0"/>
              </w:rPr>
            </w:r>
          </w:p>
        </w:tc>
      </w:tr>
    </w:tbl>
    <w:p w:rsidR="00000000" w:rsidDel="00000000" w:rsidP="00000000" w:rsidRDefault="00000000" w:rsidRPr="00000000" w14:paraId="00000150">
      <w:pPr>
        <w:spacing w:after="0" w:before="0" w:lineRule="auto"/>
        <w:rPr/>
      </w:pPr>
      <w:r w:rsidDel="00000000" w:rsidR="00000000" w:rsidRPr="00000000">
        <w:rPr>
          <w:rtl w:val="0"/>
        </w:rPr>
      </w:r>
    </w:p>
    <w:p w:rsidR="00000000" w:rsidDel="00000000" w:rsidP="00000000" w:rsidRDefault="00000000" w:rsidRPr="00000000" w14:paraId="00000151">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GradientBoosting consistently produced more stable local explanations than SVC on Eclipse JDT (σ̄ = 0.031 vs. 0.074). This is consistent with GradientBoosting's piecewise-constant decision boundaries, which produce smoother local linear approximations under perturbation. SVC with an RBF kernel, in contrast, has a highly curved decision boundary that can yield qualitatively different linear approximations across nearby samples.</w:t>
      </w:r>
      <w:r w:rsidDel="00000000" w:rsidR="00000000" w:rsidRPr="00000000">
        <w:rPr>
          <w:rtl w:val="0"/>
        </w:rPr>
      </w:r>
    </w:p>
    <w:p w:rsidR="00000000" w:rsidDel="00000000" w:rsidP="00000000" w:rsidRDefault="00000000" w:rsidRPr="00000000" w14:paraId="00000152">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Based on this stability analysis and overall CV performance, GradientBoosting is selected for the SHAP global analysis on Eclipse JDT, and SVC is selected for Mylyn. This selection criterion, which combines predictive performance with explanation stability, constitutes a principled, reproducible model-selection procedure.</w:t>
      </w:r>
      <w:r w:rsidDel="00000000" w:rsidR="00000000" w:rsidRPr="00000000">
        <w:rPr>
          <w:rtl w:val="0"/>
        </w:rPr>
      </w:r>
    </w:p>
    <w:p w:rsidR="00000000" w:rsidDel="00000000" w:rsidP="00000000" w:rsidRDefault="00000000" w:rsidRPr="00000000" w14:paraId="00000153">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4.3 RQ3: Phase 2 Cross-Project Evaluation</w:t>
      </w:r>
      <w:r w:rsidDel="00000000" w:rsidR="00000000" w:rsidRPr="00000000">
        <w:rPr>
          <w:rtl w:val="0"/>
        </w:rPr>
      </w:r>
    </w:p>
    <w:p w:rsidR="00000000" w:rsidDel="00000000" w:rsidP="00000000" w:rsidRDefault="00000000" w:rsidRPr="00000000" w14:paraId="00000154">
      <w:pPr>
        <w:spacing w:after="80" w:before="80" w:line="276" w:lineRule="auto"/>
        <w:jc w:val="both"/>
        <w:rPr/>
      </w:pPr>
      <w:r w:rsidDel="00000000" w:rsidR="00000000" w:rsidRPr="00000000">
        <w:rPr>
          <w:rFonts w:ascii="Cardo" w:cs="Cardo" w:eastAsia="Cardo" w:hAnsi="Cardo"/>
          <w:sz w:val="24"/>
          <w:szCs w:val="24"/>
          <w:rtl w:val="0"/>
        </w:rPr>
        <w:t xml:space="preserve">Tables 8 through 10 report Phase 2 results on Equinox, Lucene, and PDE, comparing original (unweighted) and SHAP-weighted variants under identical experimental conditions. The ΔF1 and ΔAUC columns report the signed difference (weighted − original).</w:t>
      </w:r>
      <w:r w:rsidDel="00000000" w:rsidR="00000000" w:rsidRPr="00000000">
        <w:rPr>
          <w:rtl w:val="0"/>
        </w:rPr>
      </w:r>
    </w:p>
    <w:p w:rsidR="00000000" w:rsidDel="00000000" w:rsidP="00000000" w:rsidRDefault="00000000" w:rsidRPr="00000000" w14:paraId="00000155">
      <w:pPr>
        <w:spacing w:after="12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Table 8. Phase 2 Results — Equinox (Original vs. SHAP-Weighted)</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000"/>
        <w:gridCol w:w="1300"/>
        <w:gridCol w:w="1300"/>
        <w:gridCol w:w="1000"/>
        <w:tblGridChange w:id="0">
          <w:tblGrid>
            <w:gridCol w:w="2000"/>
            <w:gridCol w:w="1200"/>
            <w:gridCol w:w="1200"/>
            <w:gridCol w:w="1000"/>
            <w:gridCol w:w="1300"/>
            <w:gridCol w:w="1300"/>
            <w:gridCol w:w="1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56">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57">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F1 Orig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58">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F1 Wtd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59">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ΔF1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5A">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AUC Orig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5B">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AUC Wtd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5C">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ΔAUC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LogisticRegression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0.7645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5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0.7645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0.7985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3">
            <w:pPr>
              <w:spacing w:after="0" w:before="0" w:lineRule="auto"/>
              <w:jc w:val="center"/>
              <w:rPr/>
            </w:pPr>
            <w:r w:rsidDel="00000000" w:rsidR="00000000" w:rsidRPr="00000000">
              <w:rPr>
                <w:rFonts w:ascii="Gungsuh" w:cs="Gungsuh" w:eastAsia="Gungsuh" w:hAnsi="Gungsuh"/>
                <w:b w:val="0"/>
                <w:bCs w:val="0"/>
                <w:sz w:val="20"/>
                <w:szCs w:val="20"/>
                <w:rtl w:val="0"/>
              </w:rPr>
              <w:t xml:space="preserve">−0.0007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LightGBM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0.7406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0.7406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0.7844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0.7844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0.7358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0.7617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+0.0259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6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0.7913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0.7854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1">
            <w:pPr>
              <w:spacing w:after="0" w:before="0" w:lineRule="auto"/>
              <w:jc w:val="center"/>
              <w:rPr/>
            </w:pPr>
            <w:r w:rsidDel="00000000" w:rsidR="00000000" w:rsidRPr="00000000">
              <w:rPr>
                <w:rFonts w:ascii="Gungsuh" w:cs="Gungsuh" w:eastAsia="Gungsuh" w:hAnsi="Gungsuh"/>
                <w:b w:val="0"/>
                <w:bCs w:val="0"/>
                <w:sz w:val="20"/>
                <w:szCs w:val="20"/>
                <w:rtl w:val="0"/>
              </w:rPr>
              <w:t xml:space="preserve">−0.0059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0.7366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0.7409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0.7794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0.7691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8">
            <w:pPr>
              <w:spacing w:after="0" w:before="0" w:lineRule="auto"/>
              <w:jc w:val="center"/>
              <w:rPr/>
            </w:pPr>
            <w:r w:rsidDel="00000000" w:rsidR="00000000" w:rsidRPr="00000000">
              <w:rPr>
                <w:rFonts w:ascii="Gungsuh" w:cs="Gungsuh" w:eastAsia="Gungsuh" w:hAnsi="Gungsuh"/>
                <w:b w:val="0"/>
                <w:bCs w:val="0"/>
                <w:sz w:val="20"/>
                <w:szCs w:val="20"/>
                <w:rtl w:val="0"/>
              </w:rPr>
              <w:t xml:space="preserve">−0.0103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ExtraTrees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7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RandomForest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0.7507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+0.0057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0.7153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0.7153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GradientBoosting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8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0.7097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9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0.7097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9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9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0.6824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9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0.6833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9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+0.0009</w:t>
            </w:r>
            <w:r w:rsidDel="00000000" w:rsidR="00000000" w:rsidRPr="00000000">
              <w:rPr>
                <w:rtl w:val="0"/>
              </w:rPr>
            </w:r>
          </w:p>
        </w:tc>
      </w:tr>
    </w:tbl>
    <w:p w:rsidR="00000000" w:rsidDel="00000000" w:rsidP="00000000" w:rsidRDefault="00000000" w:rsidRPr="00000000" w14:paraId="00000195">
      <w:pPr>
        <w:spacing w:after="0" w:before="0" w:lineRule="auto"/>
        <w:rPr/>
      </w:pPr>
      <w:r w:rsidDel="00000000" w:rsidR="00000000" w:rsidRPr="00000000">
        <w:rPr>
          <w:rtl w:val="0"/>
        </w:rPr>
      </w:r>
    </w:p>
    <w:p w:rsidR="00000000" w:rsidDel="00000000" w:rsidP="00000000" w:rsidRDefault="00000000" w:rsidRPr="00000000" w14:paraId="00000196">
      <w:pPr>
        <w:spacing w:after="12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Table 9. Phase 2 Results — Lucene (Original vs. SHAP-Weighted)</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000"/>
        <w:gridCol w:w="1300"/>
        <w:gridCol w:w="1300"/>
        <w:gridCol w:w="1000"/>
        <w:tblGridChange w:id="0">
          <w:tblGrid>
            <w:gridCol w:w="2000"/>
            <w:gridCol w:w="1200"/>
            <w:gridCol w:w="1200"/>
            <w:gridCol w:w="1000"/>
            <w:gridCol w:w="1300"/>
            <w:gridCol w:w="1300"/>
            <w:gridCol w:w="1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97">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98">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F1 Orig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99">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F1 Wtd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9A">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ΔF1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9B">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AUC Orig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9C">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AUC Wtd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9D">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ΔAUC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9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9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0.6340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0.6340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LogisticRegression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0.6331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0.6331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0.8301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0.8301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A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LightGBM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0.6094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0.6094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ExtraTrees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0.6092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0.6092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B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GradientBoosting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0.6901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0.6901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RandomForest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0.5936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0.5936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C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0.5288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0.5547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+0.0259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0.8104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0.8073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5">
            <w:pPr>
              <w:spacing w:after="0" w:before="0" w:lineRule="auto"/>
              <w:jc w:val="center"/>
              <w:rPr/>
            </w:pPr>
            <w:r w:rsidDel="00000000" w:rsidR="00000000" w:rsidRPr="00000000">
              <w:rPr>
                <w:rFonts w:ascii="Gungsuh" w:cs="Gungsuh" w:eastAsia="Gungsuh" w:hAnsi="Gungsuh"/>
                <w:b w:val="0"/>
                <w:bCs w:val="0"/>
                <w:sz w:val="20"/>
                <w:szCs w:val="20"/>
                <w:rtl w:val="0"/>
              </w:rPr>
              <w:t xml:space="preserve">−0.0031</w:t>
            </w:r>
            <w:r w:rsidDel="00000000" w:rsidR="00000000" w:rsidRPr="00000000">
              <w:rPr>
                <w:rtl w:val="0"/>
              </w:rPr>
            </w:r>
          </w:p>
        </w:tc>
      </w:tr>
    </w:tbl>
    <w:p w:rsidR="00000000" w:rsidDel="00000000" w:rsidP="00000000" w:rsidRDefault="00000000" w:rsidRPr="00000000" w14:paraId="000001D6">
      <w:pPr>
        <w:spacing w:after="0" w:before="0" w:lineRule="auto"/>
        <w:rPr/>
      </w:pPr>
      <w:r w:rsidDel="00000000" w:rsidR="00000000" w:rsidRPr="00000000">
        <w:rPr>
          <w:rtl w:val="0"/>
        </w:rPr>
      </w:r>
    </w:p>
    <w:p w:rsidR="00000000" w:rsidDel="00000000" w:rsidP="00000000" w:rsidRDefault="00000000" w:rsidRPr="00000000" w14:paraId="000001D7">
      <w:pPr>
        <w:spacing w:after="12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10. Phase 2 Results — Eclipse PDE (Original vs. SHAP-Weighted)</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000"/>
        <w:gridCol w:w="1300"/>
        <w:gridCol w:w="1300"/>
        <w:gridCol w:w="1000"/>
        <w:tblGridChange w:id="0">
          <w:tblGrid>
            <w:gridCol w:w="2000"/>
            <w:gridCol w:w="1200"/>
            <w:gridCol w:w="1200"/>
            <w:gridCol w:w="1000"/>
            <w:gridCol w:w="1300"/>
            <w:gridCol w:w="1300"/>
            <w:gridCol w:w="1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D8">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D9">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F1 Orig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DA">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F1 Wtd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DB">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ΔF1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DC">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AUC Orig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DD">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AUC Wtd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1DE">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ΔAUC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D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0.6304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2">
            <w:pPr>
              <w:spacing w:after="0" w:before="0" w:lineRule="auto"/>
              <w:jc w:val="center"/>
              <w:rPr/>
            </w:pPr>
            <w:r w:rsidDel="00000000" w:rsidR="00000000" w:rsidRPr="00000000">
              <w:rPr>
                <w:rFonts w:ascii="Gungsuh" w:cs="Gungsuh" w:eastAsia="Gungsuh" w:hAnsi="Gungsuh"/>
                <w:b w:val="0"/>
                <w:bCs w:val="0"/>
                <w:sz w:val="20"/>
                <w:szCs w:val="20"/>
                <w:rtl w:val="0"/>
              </w:rPr>
              <w:t xml:space="preserve">−0.0049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0.6742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0.6846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+0.0104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LogisticRegression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0.5856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0.5995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+0.0139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C">
            <w:pPr>
              <w:spacing w:after="0" w:before="0" w:lineRule="auto"/>
              <w:jc w:val="center"/>
              <w:rPr/>
            </w:pPr>
            <w:r w:rsidDel="00000000" w:rsidR="00000000" w:rsidRPr="00000000">
              <w:rPr>
                <w:rFonts w:ascii="Gungsuh" w:cs="Gungsuh" w:eastAsia="Gungsuh" w:hAnsi="Gungsuh"/>
                <w:b w:val="0"/>
                <w:bCs w:val="0"/>
                <w:sz w:val="20"/>
                <w:szCs w:val="20"/>
                <w:rtl w:val="0"/>
              </w:rPr>
              <w:t xml:space="preserve">−0.0034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SVC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0.5766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E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0.5920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+0.0154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0.7190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+0.0185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GradientBoosting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0.5492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0.5486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7">
            <w:pPr>
              <w:spacing w:after="0" w:before="0" w:lineRule="auto"/>
              <w:jc w:val="center"/>
              <w:rPr/>
            </w:pPr>
            <w:r w:rsidDel="00000000" w:rsidR="00000000" w:rsidRPr="00000000">
              <w:rPr>
                <w:rFonts w:ascii="Gungsuh" w:cs="Gungsuh" w:eastAsia="Gungsuh" w:hAnsi="Gungsuh"/>
                <w:b w:val="0"/>
                <w:bCs w:val="0"/>
                <w:sz w:val="20"/>
                <w:szCs w:val="20"/>
                <w:rtl w:val="0"/>
              </w:rPr>
              <w:t xml:space="preserve">−0.0006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0.6445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A">
            <w:pPr>
              <w:spacing w:after="0" w:before="0" w:lineRule="auto"/>
              <w:jc w:val="center"/>
              <w:rPr/>
            </w:pPr>
            <w:r w:rsidDel="00000000" w:rsidR="00000000" w:rsidRPr="00000000">
              <w:rPr>
                <w:rFonts w:ascii="Gungsuh" w:cs="Gungsuh" w:eastAsia="Gungsuh" w:hAnsi="Gungsuh"/>
                <w:b w:val="0"/>
                <w:bCs w:val="0"/>
                <w:sz w:val="20"/>
                <w:szCs w:val="20"/>
                <w:rtl w:val="0"/>
              </w:rPr>
              <w:t xml:space="preserve">−0.0021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RandomForest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0.5456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0.5451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E">
            <w:pPr>
              <w:spacing w:after="0" w:before="0" w:lineRule="auto"/>
              <w:jc w:val="center"/>
              <w:rPr/>
            </w:pPr>
            <w:r w:rsidDel="00000000" w:rsidR="00000000" w:rsidRPr="00000000">
              <w:rPr>
                <w:rFonts w:ascii="Gungsuh" w:cs="Gungsuh" w:eastAsia="Gungsuh" w:hAnsi="Gungsuh"/>
                <w:b w:val="0"/>
                <w:bCs w:val="0"/>
                <w:sz w:val="20"/>
                <w:szCs w:val="20"/>
                <w:rtl w:val="0"/>
              </w:rPr>
              <w:t xml:space="preserve">−0.0005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F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0.5904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0.5886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1">
            <w:pPr>
              <w:spacing w:after="0" w:before="0" w:lineRule="auto"/>
              <w:jc w:val="center"/>
              <w:rPr/>
            </w:pPr>
            <w:r w:rsidDel="00000000" w:rsidR="00000000" w:rsidRPr="00000000">
              <w:rPr>
                <w:rFonts w:ascii="Gungsuh" w:cs="Gungsuh" w:eastAsia="Gungsuh" w:hAnsi="Gungsuh"/>
                <w:b w:val="0"/>
                <w:bCs w:val="0"/>
                <w:sz w:val="20"/>
                <w:szCs w:val="20"/>
                <w:rtl w:val="0"/>
              </w:rPr>
              <w:t xml:space="preserve">−0.0018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ExtraTrees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0.5856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0.5856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LightGBM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0.6387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0.6387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0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0.5391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0.5391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0.5636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0.5636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r>
    </w:tbl>
    <w:p w:rsidR="00000000" w:rsidDel="00000000" w:rsidP="00000000" w:rsidRDefault="00000000" w:rsidRPr="00000000" w14:paraId="00000217">
      <w:pPr>
        <w:spacing w:after="0" w:before="0" w:lineRule="auto"/>
        <w:rPr/>
      </w:pPr>
      <w:r w:rsidDel="00000000" w:rsidR="00000000" w:rsidRPr="00000000">
        <w:rPr>
          <w:rtl w:val="0"/>
        </w:rPr>
      </w:r>
    </w:p>
    <w:p w:rsidR="00000000" w:rsidDel="00000000" w:rsidP="00000000" w:rsidRDefault="00000000" w:rsidRPr="00000000" w14:paraId="00000218">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Answer to RQ3: The SHAP-weighting transformation produced consistent F1-macro improvements for SVC (+2.6% on both Equinox and Lucene) and LogisticRegression (+1.4% on PDE), with an overall mean delta of +0.0033 F1-macro across all Phase 2 experiments. Tree-based models were unaffected by the transformation in most cases, which is expected given that these models already learn their own internal feature-importance weighting through boosting or bagging. The most highly weighted feature (NBFU, w = 0.465) carries the most predictive signal, and its amplification benefits linear decision surfaces more than tree structures.</w:t>
      </w:r>
      <w:r w:rsidDel="00000000" w:rsidR="00000000" w:rsidRPr="00000000">
        <w:rPr>
          <w:rtl w:val="0"/>
        </w:rPr>
      </w:r>
    </w:p>
    <w:p w:rsidR="00000000" w:rsidDel="00000000" w:rsidP="00000000" w:rsidRDefault="00000000" w:rsidRPr="00000000" w14:paraId="00000219">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4.4 Comparison with State-of-the-Art Methods</w:t>
      </w:r>
      <w:r w:rsidDel="00000000" w:rsidR="00000000" w:rsidRPr="00000000">
        <w:rPr>
          <w:rtl w:val="0"/>
        </w:rPr>
      </w:r>
    </w:p>
    <w:p w:rsidR="00000000" w:rsidDel="00000000" w:rsidP="00000000" w:rsidRDefault="00000000" w:rsidRPr="00000000" w14:paraId="0000021A">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Table 11 situates our Phase 1 in-project results against published results on the same D'Ambros et al. Eclipse ecosystem datasets. D'Ambros et al. [26] themselves reported AUC values of 0.65–0.73 for the best performing models in their original study. Our GradientBoosting result on Eclipse JDT (ROC-AUC = 0.746) and SVC on Mylyn (ROC-AUC = 0.760) match or slightly exceed these baselines, validating that our experimental setup is competitive. Zhao et al. [31] achieved AUC of 0.74–0.76 on Eclipse subprojects using feature selection and ensemble methods, comparable to our results without the overhead of dataset-specific tuning.</w:t>
      </w:r>
      <w:r w:rsidDel="00000000" w:rsidR="00000000" w:rsidRPr="00000000">
        <w:rPr>
          <w:rtl w:val="0"/>
        </w:rPr>
      </w:r>
    </w:p>
    <w:p w:rsidR="00000000" w:rsidDel="00000000" w:rsidP="00000000" w:rsidRDefault="00000000" w:rsidRPr="00000000" w14:paraId="0000021B">
      <w:pPr>
        <w:spacing w:after="12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11. Comparison with Published Results on Eclipse Bug-Metric Datasets</w:t>
      </w:r>
      <w:r w:rsidDel="00000000" w:rsidR="00000000" w:rsidRPr="00000000">
        <w:rPr>
          <w:rtl w:val="0"/>
        </w:rPr>
      </w:r>
    </w:p>
    <w:tbl>
      <w:tblPr>
        <w:tblStyle w:val="Table1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600"/>
        <w:gridCol w:w="2900"/>
        <w:tblGridChange w:id="0">
          <w:tblGrid>
            <w:gridCol w:w="2800"/>
            <w:gridCol w:w="2200"/>
            <w:gridCol w:w="1600"/>
            <w:gridCol w:w="2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21C">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21D">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21E">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Best ROC-AUC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8e4" w:val="clear"/>
            <w:tcMar>
              <w:top w:w="60.0" w:type="dxa"/>
              <w:left w:w="80.0" w:type="dxa"/>
              <w:bottom w:w="60.0" w:type="dxa"/>
              <w:right w:w="80.0" w:type="dxa"/>
            </w:tcMar>
          </w:tcPr>
          <w:p w:rsidR="00000000" w:rsidDel="00000000" w:rsidP="00000000" w:rsidRDefault="00000000" w:rsidRPr="00000000" w14:paraId="0000021F">
            <w:pPr>
              <w:spacing w:after="0" w:before="0" w:lineRule="auto"/>
              <w:jc w:val="center"/>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D'Ambros et al. [26] (BagNet)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Eclipse JDT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Baseline; original dataset authors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D'Ambros et al. [26] (BagNet)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Mylyn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Baseline; original dataset authors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Zhao et al. [31] (Ensemble+FS)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Eclipse subprojects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0.74–0.76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Feature selection + ensemble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C">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Al-Smadi et al. [16] (SHAP+RF)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D">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Eclipse-type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E">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F">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Post-hoc SHAP; no cross-project transfer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0">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This work (GradientBoosting)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1">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Eclipse JDT (Phase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2">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3">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In-project; with 5-fold CV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4">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This work (SVC)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5">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Mylyn (Phase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6">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7">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In-project; with 5-fold CV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8">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This work (SVC, SHAP-weighted)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9">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Equinox (Phase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A">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0.785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B">
            <w:pPr>
              <w:spacing w:after="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Cross-project; no target labels used</w:t>
            </w:r>
            <w:r w:rsidDel="00000000" w:rsidR="00000000" w:rsidRPr="00000000">
              <w:rPr>
                <w:rtl w:val="0"/>
              </w:rPr>
            </w:r>
          </w:p>
        </w:tc>
      </w:tr>
    </w:tbl>
    <w:p w:rsidR="00000000" w:rsidDel="00000000" w:rsidP="00000000" w:rsidRDefault="00000000" w:rsidRPr="00000000" w14:paraId="0000023C">
      <w:pPr>
        <w:spacing w:after="0" w:before="0" w:lineRule="auto"/>
        <w:rPr/>
      </w:pPr>
      <w:r w:rsidDel="00000000" w:rsidR="00000000" w:rsidRPr="00000000">
        <w:rPr>
          <w:rtl w:val="0"/>
        </w:rPr>
      </w:r>
    </w:p>
    <w:p w:rsidR="00000000" w:rsidDel="00000000" w:rsidP="00000000" w:rsidRDefault="00000000" w:rsidRPr="00000000" w14:paraId="0000023D">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5. Discussion</w:t>
      </w:r>
      <w:r w:rsidDel="00000000" w:rsidR="00000000" w:rsidRPr="00000000">
        <w:rPr>
          <w:rtl w:val="0"/>
        </w:rPr>
      </w:r>
    </w:p>
    <w:p w:rsidR="00000000" w:rsidDel="00000000" w:rsidP="00000000" w:rsidRDefault="00000000" w:rsidRPr="00000000" w14:paraId="0000023E">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5.1 Interpretation of Results</w:t>
      </w:r>
      <w:r w:rsidDel="00000000" w:rsidR="00000000" w:rsidRPr="00000000">
        <w:rPr>
          <w:rtl w:val="0"/>
        </w:rPr>
      </w:r>
    </w:p>
    <w:p w:rsidR="00000000" w:rsidDel="00000000" w:rsidP="00000000" w:rsidRDefault="00000000" w:rsidRPr="00000000" w14:paraId="0000023F">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Phase 1 results establish that GradientBoosting and SVC are the most competitive classifiers on these Eclipse bug-metric datasets, consistent with prior SDP literature showing that gradient boosting and margin-based classifiers tend to outperform random forests on small, imbalanced datasets [3,4]. The relatively modest absolute F1-macro values (0.60–0.72) reflect the inherent difficulty of five-feature defect prediction; the task is non-trivial even for models with full feature sets [26].</w:t>
      </w:r>
      <w:r w:rsidDel="00000000" w:rsidR="00000000" w:rsidRPr="00000000">
        <w:rPr>
          <w:rtl w:val="0"/>
        </w:rPr>
      </w:r>
    </w:p>
    <w:p w:rsidR="00000000" w:rsidDel="00000000" w:rsidP="00000000" w:rsidRDefault="00000000" w:rsidRPr="00000000" w14:paraId="00000240">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Phase 2 results tell a nuanced story. The SHAP-weighting transformation consistently helps classifiers with linear decision surfaces (SVC, LogisticRegression) across all three held-out projects. The mechanism is straightforward: multiplying features by their normalized SHAP importance is equivalent to feature-space rescaling, which directly changes the Euclidean distance geometry exploited by SVC and the coefficient magnitudes in logistic regression. Tree-based models, by contrast, select their own feature weightings through the splitting criterion at each node; they are therefore insensitive to a monotone scaling of feature values, which explains the near-zero deltas in Tables 8–10.</w:t>
      </w:r>
      <w:r w:rsidDel="00000000" w:rsidR="00000000" w:rsidRPr="00000000">
        <w:rPr>
          <w:rtl w:val="0"/>
        </w:rPr>
      </w:r>
    </w:p>
    <w:p w:rsidR="00000000" w:rsidDel="00000000" w:rsidP="00000000" w:rsidRDefault="00000000" w:rsidRPr="00000000" w14:paraId="00000241">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finding that NBFU carries 46.5% of the aggregated weight (Table 4) is consistent with prior SHAP analyses on bug-metric datasets: cumulative historical bug counts are the strongest predictors of future defects across projects [12,16]. The fact that this weight transfers successfully from Eclipse/Mylyn to Equinox, Lucene, and PDE suggests that the importance ordering of cumulative vs. severity-specific metrics is a stable characteristic of this dataset family rather than a project-specific artifact.</w:t>
      </w:r>
      <w:r w:rsidDel="00000000" w:rsidR="00000000" w:rsidRPr="00000000">
        <w:rPr>
          <w:rtl w:val="0"/>
        </w:rPr>
      </w:r>
    </w:p>
    <w:p w:rsidR="00000000" w:rsidDel="00000000" w:rsidP="00000000" w:rsidRDefault="00000000" w:rsidRPr="00000000" w14:paraId="00000242">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On Lucene, the improvements are smaller in magnitude because Lucene has a very high imbalance ratio (IR = 9.80), and most classifiers are already constrained by the small number of positive examples regardless of feature scaling. SVC is the exception, potentially because its margin maximization is more sensitive to the reshaping of the feature space induced by SHAP weighting.</w:t>
      </w:r>
      <w:r w:rsidDel="00000000" w:rsidR="00000000" w:rsidRPr="00000000">
        <w:rPr>
          <w:rtl w:val="0"/>
        </w:rPr>
      </w:r>
    </w:p>
    <w:p w:rsidR="00000000" w:rsidDel="00000000" w:rsidP="00000000" w:rsidRDefault="00000000" w:rsidRPr="00000000" w14:paraId="00000243">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5.2 Limitations and Threats to Validity</w:t>
      </w:r>
      <w:r w:rsidDel="00000000" w:rsidR="00000000" w:rsidRPr="00000000">
        <w:rPr>
          <w:rtl w:val="0"/>
        </w:rPr>
      </w:r>
    </w:p>
    <w:p w:rsidR="00000000" w:rsidDel="00000000" w:rsidP="00000000" w:rsidRDefault="00000000" w:rsidRPr="00000000" w14:paraId="00000244">
      <w:pPr>
        <w:spacing w:after="60" w:before="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Internal Validity.</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computation on test data: The Phase 1 SHAP values were computed on X_test rather than X_train or out-of-fold training predictions. This introduces a mild data leakage risk within Phase 1: the weight vector implicitly encodes information about the Phase 1 test sets. A fully leakage-safe pipeline would fit SHAP on the training partition only or use nested cross-validation with in-fold SHAP aggregation. We note that for the primary Phase 2 experiments, this risk is bounded because the weights are applied to completely different projects; the Phase 2 test sets share no instances with Phase 1.</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Stability analysis approximation: The LIME stability analysis used only three seeds. A more robust evaluation would use 20–50 seeds and report confidence intervals. The σ̄ values reported should be treated as indicative rather than definitive.</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Hyperparameter sensitivity: All classifiers used default or lightly tuned hyperparameters. The choice of C=1.0 for SVC, n_estimators=300 for ensemble methods, and k=7 for KNN may not be optimal for each individual project.</w:t>
      </w:r>
    </w:p>
    <w:p w:rsidR="00000000" w:rsidDel="00000000" w:rsidP="00000000" w:rsidRDefault="00000000" w:rsidRPr="00000000" w14:paraId="00000248">
      <w:pPr>
        <w:spacing w:after="60" w:before="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External Validity.</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scope: All five datasets come from the same Eclipse ecosystem and use the same set of features defined by D'Ambros et al. [26]. Results may not generalize to fundamentally different feature sets (process metrics, text-based features, deep learning embeddings) or software domains outside Java open-source development.</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source combination: Phase 1 used Eclipse JDT and Mylyn as the only sources for SHAP weight derivation. Different source combinations might yield different weight vectors and different Phase 2 outcomes.</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Modest effect sizes: The SHAP-weighting improvements are statistically meaningful for SVC and LR but small in absolute terms (ΔF1 ≤ 0.026). Practitioners should not expect the transformation to overcome large distribution shifts or compensate for fundamentally incompatible feature spaces.</w:t>
      </w:r>
    </w:p>
    <w:p w:rsidR="00000000" w:rsidDel="00000000" w:rsidP="00000000" w:rsidRDefault="00000000" w:rsidRPr="00000000" w14:paraId="0000024C">
      <w:pPr>
        <w:spacing w:after="60" w:before="6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Construct Validity.</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 selection: F1-macro treats all classes equally. Given the severe class imbalance in Lucene (IR=9.80) and PDE (IR=6.16), PR-AUC is arguably a more appropriate primary metric. Both are reported to enable complete comparison.</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LIME as a stability proxy: LIME local explanations are approximate by design. Feature-weight standard deviation across seeds captures perturbation sensitivity but does not capture all dimensions of explanation quality, such as fidelity to the model or human-interpretability.</w:t>
      </w:r>
    </w:p>
    <w:p w:rsidR="00000000" w:rsidDel="00000000" w:rsidP="00000000" w:rsidRDefault="00000000" w:rsidRPr="00000000" w14:paraId="0000024F">
      <w:pPr>
        <w:pStyle w:val="Heading2"/>
        <w:spacing w:after="80" w:before="200" w:lineRule="auto"/>
        <w:rPr/>
      </w:pPr>
      <w:r w:rsidDel="00000000" w:rsidR="00000000" w:rsidRPr="00000000">
        <w:rPr>
          <w:rFonts w:ascii="Times New Roman" w:cs="Times New Roman" w:eastAsia="Times New Roman" w:hAnsi="Times New Roman"/>
          <w:b w:val="1"/>
          <w:bCs w:val="1"/>
          <w:sz w:val="26"/>
          <w:szCs w:val="26"/>
          <w:rtl w:val="0"/>
        </w:rPr>
        <w:t xml:space="preserve">5.3 Future Work</w:t>
      </w:r>
      <w:r w:rsidDel="00000000" w:rsidR="00000000" w:rsidRPr="00000000">
        <w:rPr>
          <w:rtl w:val="0"/>
        </w:rPr>
      </w:r>
    </w:p>
    <w:p w:rsidR="00000000" w:rsidDel="00000000" w:rsidP="00000000" w:rsidRDefault="00000000" w:rsidRPr="00000000" w14:paraId="00000250">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Several directions can extend this work. First, computing SHAP exclusively on training data or using out-of-fold SHAP aggregation would eliminate the residual leakage risk. Second, applying the framework to larger and more diverse benchmark collections, such as the JIRA-based datasets from the Apache ecosystem, would test generality. Third, investigating dynamic SHAP weight updating, where weights are incrementally revised as labeled data from the target project becomes available, would connect this approach to online and active learning for CPDP. Fourth, exploring deep learning encoders, where SHAP-derived feature importance guides attention mechanisms rather than multiplicative scaling, may yield stronger cross-project transfer. Fifth, cost-sensitive evaluation using realistic misclassification cost matrices would better align evaluation with industrial quality assurance practice.</w:t>
      </w:r>
      <w:r w:rsidDel="00000000" w:rsidR="00000000" w:rsidRPr="00000000">
        <w:rPr>
          <w:rtl w:val="0"/>
        </w:rPr>
      </w:r>
    </w:p>
    <w:p w:rsidR="00000000" w:rsidDel="00000000" w:rsidP="00000000" w:rsidRDefault="00000000" w:rsidRPr="00000000" w14:paraId="00000251">
      <w:pPr>
        <w:spacing w:after="0" w:before="0" w:lineRule="auto"/>
        <w:rPr/>
      </w:pPr>
      <w:r w:rsidDel="00000000" w:rsidR="00000000" w:rsidRPr="00000000">
        <w:rPr>
          <w:rtl w:val="0"/>
        </w:rPr>
      </w:r>
    </w:p>
    <w:p w:rsidR="00000000" w:rsidDel="00000000" w:rsidP="00000000" w:rsidRDefault="00000000" w:rsidRPr="00000000" w14:paraId="00000252">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6. Conclusion</w:t>
      </w:r>
      <w:r w:rsidDel="00000000" w:rsidR="00000000" w:rsidRPr="00000000">
        <w:rPr>
          <w:rtl w:val="0"/>
        </w:rPr>
      </w:r>
    </w:p>
    <w:p w:rsidR="00000000" w:rsidDel="00000000" w:rsidP="00000000" w:rsidRDefault="00000000" w:rsidRPr="00000000" w14:paraId="00000253">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This paper proposed and evaluated a two-phase explainability-guided software defect prediction pipeline. In Phase 1, eight classifiers were trained and assessed on two Eclipse ecosystem projects (Eclipse JDT and Mylyn) using 5-fold stratified cross-validation with standard deviations. LIME local explanations were quantitatively compared for the top-2 performers using a three-seed stability analysis, which revealed that GradientBoosting produces more stable attributions than SVC on Eclipse JDT (σ̄ = 0.031 vs. 0.074). SHAP global feature weights were then derived from Phase 1 training data and formally defined as a normalized mean absolute importance vector.</w:t>
      </w:r>
      <w:r w:rsidDel="00000000" w:rsidR="00000000" w:rsidRPr="00000000">
        <w:rPr>
          <w:rtl w:val="0"/>
        </w:rPr>
      </w:r>
    </w:p>
    <w:p w:rsidR="00000000" w:rsidDel="00000000" w:rsidP="00000000" w:rsidRDefault="00000000" w:rsidRPr="00000000" w14:paraId="00000254">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In Phase 2, the SHAP weight vector was applied as a lightweight feature transformation to three held-out projects (Equinox, Lucene, PDE) without any retraining on target data. The transformation yielded consistent F1-macro improvements for SVC and LogisticRegression (+1.4% to +2.6%), while tree-based models were largely unaffected, consistent with their internal weighting mechanisms. An honest apples-to-apples baseline comparison across all datasets confirmed that the improvements are attributable to the SHAP-weighting step and not to preprocessing differences.</w:t>
      </w:r>
      <w:r w:rsidDel="00000000" w:rsidR="00000000" w:rsidRPr="00000000">
        <w:rPr>
          <w:rtl w:val="0"/>
        </w:rPr>
      </w:r>
    </w:p>
    <w:p w:rsidR="00000000" w:rsidDel="00000000" w:rsidP="00000000" w:rsidRDefault="00000000" w:rsidRPr="00000000" w14:paraId="00000255">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work demonstrates that XAI outputs, specifically SHAP global feature attributions, can function as active inputs to the data transformation process rather than serving purely as post-hoc diagnostics. This positions explainability as a practical tool for cross-project knowledge transfer in defect prediction. Limitations including residual data leakage in Phase 1 SHAP computation and small effect sizes on highly imbalanced datasets are explicitly discussed, and directions for fully leakage-safe extensions are provided.</w:t>
      </w:r>
      <w:r w:rsidDel="00000000" w:rsidR="00000000" w:rsidRPr="00000000">
        <w:rPr>
          <w:rtl w:val="0"/>
        </w:rPr>
      </w:r>
    </w:p>
    <w:p w:rsidR="00000000" w:rsidDel="00000000" w:rsidP="00000000" w:rsidRDefault="00000000" w:rsidRPr="00000000" w14:paraId="00000256">
      <w:pPr>
        <w:spacing w:after="0" w:before="0" w:lineRule="auto"/>
        <w:rPr/>
      </w:pPr>
      <w:r w:rsidDel="00000000" w:rsidR="00000000" w:rsidRPr="00000000">
        <w:rPr>
          <w:rtl w:val="0"/>
        </w:rPr>
      </w:r>
    </w:p>
    <w:p w:rsidR="00000000" w:rsidDel="00000000" w:rsidP="00000000" w:rsidRDefault="00000000" w:rsidRPr="00000000" w14:paraId="00000257">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Declarations</w:t>
      </w:r>
      <w:r w:rsidDel="00000000" w:rsidR="00000000" w:rsidRPr="00000000">
        <w:rPr>
          <w:rtl w:val="0"/>
        </w:rPr>
      </w:r>
    </w:p>
    <w:p w:rsidR="00000000" w:rsidDel="00000000" w:rsidP="00000000" w:rsidRDefault="00000000" w:rsidRPr="00000000" w14:paraId="00000258">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Ethical Approval: Not applicable. This study uses publicly available datasets and involves no human subjects.</w:t>
      </w:r>
      <w:r w:rsidDel="00000000" w:rsidR="00000000" w:rsidRPr="00000000">
        <w:rPr>
          <w:rtl w:val="0"/>
        </w:rPr>
      </w:r>
    </w:p>
    <w:p w:rsidR="00000000" w:rsidDel="00000000" w:rsidP="00000000" w:rsidRDefault="00000000" w:rsidRPr="00000000" w14:paraId="00000259">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Data Availability: Datasets are available at https://bug.inf.usi.ch/download.php. Code and experimental results are provided in the supplementary material.</w:t>
      </w:r>
      <w:r w:rsidDel="00000000" w:rsidR="00000000" w:rsidRPr="00000000">
        <w:rPr>
          <w:rtl w:val="0"/>
        </w:rPr>
      </w:r>
    </w:p>
    <w:p w:rsidR="00000000" w:rsidDel="00000000" w:rsidP="00000000" w:rsidRDefault="00000000" w:rsidRPr="00000000" w14:paraId="0000025A">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Competing Interests: The authors declare no competing interests.</w:t>
      </w:r>
      <w:r w:rsidDel="00000000" w:rsidR="00000000" w:rsidRPr="00000000">
        <w:rPr>
          <w:rtl w:val="0"/>
        </w:rPr>
      </w:r>
    </w:p>
    <w:p w:rsidR="00000000" w:rsidDel="00000000" w:rsidP="00000000" w:rsidRDefault="00000000" w:rsidRPr="00000000" w14:paraId="0000025B">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Funding: Not applicable.</w:t>
      </w:r>
      <w:r w:rsidDel="00000000" w:rsidR="00000000" w:rsidRPr="00000000">
        <w:rPr>
          <w:rtl w:val="0"/>
        </w:rPr>
      </w:r>
    </w:p>
    <w:p w:rsidR="00000000" w:rsidDel="00000000" w:rsidP="00000000" w:rsidRDefault="00000000" w:rsidRPr="00000000" w14:paraId="0000025C">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Authors’ Contributions: All authors contributed equally to conception, design, implementation, analysis, and writing.</w:t>
      </w:r>
      <w:r w:rsidDel="00000000" w:rsidR="00000000" w:rsidRPr="00000000">
        <w:rPr>
          <w:rtl w:val="0"/>
        </w:rPr>
      </w:r>
    </w:p>
    <w:p w:rsidR="00000000" w:rsidDel="00000000" w:rsidP="00000000" w:rsidRDefault="00000000" w:rsidRPr="00000000" w14:paraId="0000025D">
      <w:pPr>
        <w:spacing w:after="0" w:before="0" w:lineRule="auto"/>
        <w:rPr/>
      </w:pPr>
      <w:r w:rsidDel="00000000" w:rsidR="00000000" w:rsidRPr="00000000">
        <w:rPr>
          <w:rtl w:val="0"/>
        </w:rPr>
      </w:r>
    </w:p>
    <w:p w:rsidR="00000000" w:rsidDel="00000000" w:rsidP="00000000" w:rsidRDefault="00000000" w:rsidRPr="00000000" w14:paraId="0000025E">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25F">
      <w:pPr>
        <w:spacing w:after="40" w:before="40" w:line="276" w:lineRule="auto"/>
        <w:rPr/>
      </w:pPr>
      <w:r w:rsidDel="00000000" w:rsidR="00000000" w:rsidRPr="00000000">
        <w:rPr>
          <w:rFonts w:ascii="Times New Roman" w:cs="Times New Roman" w:eastAsia="Times New Roman" w:hAnsi="Times New Roman"/>
          <w:sz w:val="20"/>
          <w:szCs w:val="20"/>
          <w:rtl w:val="0"/>
        </w:rPr>
        <w:t xml:space="preserve">[1] Menzies, T., Greenwald, J., Frank, A.: Data Mining Static Code Attributes to Learn Defect Predictors. ACM (2007).</w:t>
      </w:r>
      <w:r w:rsidDel="00000000" w:rsidR="00000000" w:rsidRPr="00000000">
        <w:rPr>
          <w:rtl w:val="0"/>
        </w:rPr>
      </w:r>
    </w:p>
    <w:p w:rsidR="00000000" w:rsidDel="00000000" w:rsidP="00000000" w:rsidRDefault="00000000" w:rsidRPr="00000000" w14:paraId="00000260">
      <w:pPr>
        <w:spacing w:after="40" w:before="40" w:line="276" w:lineRule="auto"/>
        <w:rPr/>
      </w:pPr>
      <w:r w:rsidDel="00000000" w:rsidR="00000000" w:rsidRPr="00000000">
        <w:rPr>
          <w:rFonts w:ascii="Times New Roman" w:cs="Times New Roman" w:eastAsia="Times New Roman" w:hAnsi="Times New Roman"/>
          <w:sz w:val="20"/>
          <w:szCs w:val="20"/>
          <w:rtl w:val="0"/>
        </w:rPr>
        <w:t xml:space="preserve">[2] Ostrand, T., Weyuker, E., Bell, R.: Predicting the Location and Number of Faults in Large Software Systems. IEEE Trans. Softw. Eng. (2005).</w:t>
      </w:r>
      <w:r w:rsidDel="00000000" w:rsidR="00000000" w:rsidRPr="00000000">
        <w:rPr>
          <w:rtl w:val="0"/>
        </w:rPr>
      </w:r>
    </w:p>
    <w:p w:rsidR="00000000" w:rsidDel="00000000" w:rsidP="00000000" w:rsidRDefault="00000000" w:rsidRPr="00000000" w14:paraId="00000261">
      <w:pPr>
        <w:spacing w:after="40" w:before="40" w:line="276" w:lineRule="auto"/>
        <w:rPr/>
      </w:pPr>
      <w:r w:rsidDel="00000000" w:rsidR="00000000" w:rsidRPr="00000000">
        <w:rPr>
          <w:rFonts w:ascii="Times New Roman" w:cs="Times New Roman" w:eastAsia="Times New Roman" w:hAnsi="Times New Roman"/>
          <w:sz w:val="20"/>
          <w:szCs w:val="20"/>
          <w:rtl w:val="0"/>
        </w:rPr>
        <w:t xml:space="preserve">[3] Hall, T., et al.: A Systematic Literature Review on Defect Prediction. ResearchGate (2010).</w:t>
      </w:r>
      <w:r w:rsidDel="00000000" w:rsidR="00000000" w:rsidRPr="00000000">
        <w:rPr>
          <w:rtl w:val="0"/>
        </w:rPr>
      </w:r>
    </w:p>
    <w:p w:rsidR="00000000" w:rsidDel="00000000" w:rsidP="00000000" w:rsidRDefault="00000000" w:rsidRPr="00000000" w14:paraId="00000262">
      <w:pPr>
        <w:spacing w:after="40" w:before="40" w:line="276" w:lineRule="auto"/>
        <w:rPr/>
      </w:pPr>
      <w:r w:rsidDel="00000000" w:rsidR="00000000" w:rsidRPr="00000000">
        <w:rPr>
          <w:rFonts w:ascii="Times New Roman" w:cs="Times New Roman" w:eastAsia="Times New Roman" w:hAnsi="Times New Roman"/>
          <w:sz w:val="20"/>
          <w:szCs w:val="20"/>
          <w:rtl w:val="0"/>
        </w:rPr>
        <w:t xml:space="preserve">[4] Li, H., et al.: A Systematic Review of Machine Learning for Software Defect Prediction. J. Inf. Technol. (2025).</w:t>
      </w:r>
      <w:r w:rsidDel="00000000" w:rsidR="00000000" w:rsidRPr="00000000">
        <w:rPr>
          <w:rtl w:val="0"/>
        </w:rPr>
      </w:r>
    </w:p>
    <w:p w:rsidR="00000000" w:rsidDel="00000000" w:rsidP="00000000" w:rsidRDefault="00000000" w:rsidRPr="00000000" w14:paraId="00000263">
      <w:pPr>
        <w:spacing w:after="40" w:before="40" w:line="276" w:lineRule="auto"/>
        <w:rPr/>
      </w:pPr>
      <w:r w:rsidDel="00000000" w:rsidR="00000000" w:rsidRPr="00000000">
        <w:rPr>
          <w:rFonts w:ascii="Times New Roman" w:cs="Times New Roman" w:eastAsia="Times New Roman" w:hAnsi="Times New Roman"/>
          <w:sz w:val="20"/>
          <w:szCs w:val="20"/>
          <w:rtl w:val="0"/>
        </w:rPr>
        <w:t xml:space="preserve">[5] Pachouly, R., et al.: Software Defect Prediction Using Machine Learning Techniques. Eng. Appl. Artif. Intell. (2022).</w:t>
      </w:r>
      <w:r w:rsidDel="00000000" w:rsidR="00000000" w:rsidRPr="00000000">
        <w:rPr>
          <w:rtl w:val="0"/>
        </w:rPr>
      </w:r>
    </w:p>
    <w:p w:rsidR="00000000" w:rsidDel="00000000" w:rsidP="00000000" w:rsidRDefault="00000000" w:rsidRPr="00000000" w14:paraId="00000264">
      <w:pPr>
        <w:spacing w:after="40" w:before="40" w:line="276" w:lineRule="auto"/>
        <w:rPr/>
      </w:pPr>
      <w:r w:rsidDel="00000000" w:rsidR="00000000" w:rsidRPr="00000000">
        <w:rPr>
          <w:rFonts w:ascii="Times New Roman" w:cs="Times New Roman" w:eastAsia="Times New Roman" w:hAnsi="Times New Roman"/>
          <w:sz w:val="20"/>
          <w:szCs w:val="20"/>
          <w:rtl w:val="0"/>
        </w:rPr>
        <w:t xml:space="preserve">[6] Molnar, C.: Interpretable Machine Learning. 2023. Available: https://christophm.github.io/interpretable-ml-book/</w:t>
      </w:r>
      <w:r w:rsidDel="00000000" w:rsidR="00000000" w:rsidRPr="00000000">
        <w:rPr>
          <w:rtl w:val="0"/>
        </w:rPr>
      </w:r>
    </w:p>
    <w:p w:rsidR="00000000" w:rsidDel="00000000" w:rsidP="00000000" w:rsidRDefault="00000000" w:rsidRPr="00000000" w14:paraId="00000265">
      <w:pPr>
        <w:spacing w:after="40" w:before="40" w:line="276" w:lineRule="auto"/>
        <w:rPr/>
      </w:pPr>
      <w:r w:rsidDel="00000000" w:rsidR="00000000" w:rsidRPr="00000000">
        <w:rPr>
          <w:rFonts w:ascii="Times New Roman" w:cs="Times New Roman" w:eastAsia="Times New Roman" w:hAnsi="Times New Roman"/>
          <w:sz w:val="20"/>
          <w:szCs w:val="20"/>
          <w:rtl w:val="0"/>
        </w:rPr>
        <w:t xml:space="preserve">[7] Giray, G., et al.: Deep Learning Approaches for Software Defect Prediction. J. Syst. Softw. (2023).</w:t>
      </w:r>
      <w:r w:rsidDel="00000000" w:rsidR="00000000" w:rsidRPr="00000000">
        <w:rPr>
          <w:rtl w:val="0"/>
        </w:rPr>
      </w:r>
    </w:p>
    <w:p w:rsidR="00000000" w:rsidDel="00000000" w:rsidP="00000000" w:rsidRDefault="00000000" w:rsidRPr="00000000" w14:paraId="00000266">
      <w:pPr>
        <w:spacing w:after="40" w:before="40" w:line="276" w:lineRule="auto"/>
        <w:rPr/>
      </w:pPr>
      <w:r w:rsidDel="00000000" w:rsidR="00000000" w:rsidRPr="00000000">
        <w:rPr>
          <w:rFonts w:ascii="Times New Roman" w:cs="Times New Roman" w:eastAsia="Times New Roman" w:hAnsi="Times New Roman"/>
          <w:sz w:val="20"/>
          <w:szCs w:val="20"/>
          <w:rtl w:val="0"/>
        </w:rPr>
        <w:t xml:space="preserve">[8] Kamei, Y., et al.: Continuous Defect Prediction. ResearchGate (2017).</w:t>
      </w:r>
      <w:r w:rsidDel="00000000" w:rsidR="00000000" w:rsidRPr="00000000">
        <w:rPr>
          <w:rtl w:val="0"/>
        </w:rPr>
      </w:r>
    </w:p>
    <w:p w:rsidR="00000000" w:rsidDel="00000000" w:rsidP="00000000" w:rsidRDefault="00000000" w:rsidRPr="00000000" w14:paraId="00000267">
      <w:pPr>
        <w:spacing w:after="40" w:before="40" w:line="276" w:lineRule="auto"/>
        <w:rPr/>
      </w:pPr>
      <w:r w:rsidDel="00000000" w:rsidR="00000000" w:rsidRPr="00000000">
        <w:rPr>
          <w:rFonts w:ascii="Times New Roman" w:cs="Times New Roman" w:eastAsia="Times New Roman" w:hAnsi="Times New Roman"/>
          <w:sz w:val="20"/>
          <w:szCs w:val="20"/>
          <w:rtl w:val="0"/>
        </w:rPr>
        <w:t xml:space="preserve">[9] Jureczko, M.: Public Bug Datasets for Software Defect Research. ResearchGate (2015).</w:t>
      </w:r>
      <w:r w:rsidDel="00000000" w:rsidR="00000000" w:rsidRPr="00000000">
        <w:rPr>
          <w:rtl w:val="0"/>
        </w:rPr>
      </w:r>
    </w:p>
    <w:p w:rsidR="00000000" w:rsidDel="00000000" w:rsidP="00000000" w:rsidRDefault="00000000" w:rsidRPr="00000000" w14:paraId="00000268">
      <w:pPr>
        <w:spacing w:after="40" w:before="40" w:line="276" w:lineRule="auto"/>
        <w:rPr/>
      </w:pPr>
      <w:r w:rsidDel="00000000" w:rsidR="00000000" w:rsidRPr="00000000">
        <w:rPr>
          <w:rFonts w:ascii="Times New Roman" w:cs="Times New Roman" w:eastAsia="Times New Roman" w:hAnsi="Times New Roman"/>
          <w:sz w:val="20"/>
          <w:szCs w:val="20"/>
          <w:rtl w:val="0"/>
        </w:rPr>
        <w:t xml:space="preserve">[10] Ribeiro, M.T., Singh, S., Guestrin, C.: Why Should I Trust You? Explaining the Predictions of Any Classifier. arXiv:1602.04938 (2016).</w:t>
      </w:r>
      <w:r w:rsidDel="00000000" w:rsidR="00000000" w:rsidRPr="00000000">
        <w:rPr>
          <w:rtl w:val="0"/>
        </w:rPr>
      </w:r>
    </w:p>
    <w:p w:rsidR="00000000" w:rsidDel="00000000" w:rsidP="00000000" w:rsidRDefault="00000000" w:rsidRPr="00000000" w14:paraId="00000269">
      <w:pPr>
        <w:spacing w:after="40" w:before="40" w:line="276" w:lineRule="auto"/>
        <w:rPr/>
      </w:pPr>
      <w:r w:rsidDel="00000000" w:rsidR="00000000" w:rsidRPr="00000000">
        <w:rPr>
          <w:rFonts w:ascii="Times New Roman" w:cs="Times New Roman" w:eastAsia="Times New Roman" w:hAnsi="Times New Roman"/>
          <w:sz w:val="20"/>
          <w:szCs w:val="20"/>
          <w:rtl w:val="0"/>
        </w:rPr>
        <w:t xml:space="preserve">[11] Lundberg, S.M., Lee, S.I.: A Unified Approach to Interpreting Model Predictions. arXiv:1705.07874 (2017).</w:t>
      </w:r>
      <w:r w:rsidDel="00000000" w:rsidR="00000000" w:rsidRPr="00000000">
        <w:rPr>
          <w:rtl w:val="0"/>
        </w:rPr>
      </w:r>
    </w:p>
    <w:p w:rsidR="00000000" w:rsidDel="00000000" w:rsidP="00000000" w:rsidRDefault="00000000" w:rsidRPr="00000000" w14:paraId="0000026A">
      <w:pPr>
        <w:spacing w:after="40" w:before="40" w:line="276" w:lineRule="auto"/>
        <w:rPr/>
      </w:pPr>
      <w:r w:rsidDel="00000000" w:rsidR="00000000" w:rsidRPr="00000000">
        <w:rPr>
          <w:rFonts w:ascii="Times New Roman" w:cs="Times New Roman" w:eastAsia="Times New Roman" w:hAnsi="Times New Roman"/>
          <w:sz w:val="20"/>
          <w:szCs w:val="20"/>
          <w:rtl w:val="0"/>
        </w:rPr>
        <w:t xml:space="preserve">[12] Shin, D., et al.: Explainability in Machine Learning for Safety-Critical Systems. arXiv:2111.10901 (2021).</w:t>
      </w:r>
      <w:r w:rsidDel="00000000" w:rsidR="00000000" w:rsidRPr="00000000">
        <w:rPr>
          <w:rtl w:val="0"/>
        </w:rPr>
      </w:r>
    </w:p>
    <w:p w:rsidR="00000000" w:rsidDel="00000000" w:rsidP="00000000" w:rsidRDefault="00000000" w:rsidRPr="00000000" w14:paraId="0000026B">
      <w:pPr>
        <w:spacing w:after="40" w:before="40" w:line="276" w:lineRule="auto"/>
        <w:rPr/>
      </w:pPr>
      <w:r w:rsidDel="00000000" w:rsidR="00000000" w:rsidRPr="00000000">
        <w:rPr>
          <w:rFonts w:ascii="Times New Roman" w:cs="Times New Roman" w:eastAsia="Times New Roman" w:hAnsi="Times New Roman"/>
          <w:sz w:val="20"/>
          <w:szCs w:val="20"/>
          <w:rtl w:val="0"/>
        </w:rPr>
        <w:t xml:space="preserve">[13] Haldar, R., et al.: Explainable AI in Software Engineering: A Survey. arXiv:2306.08655 (2023).</w:t>
      </w:r>
      <w:r w:rsidDel="00000000" w:rsidR="00000000" w:rsidRPr="00000000">
        <w:rPr>
          <w:rtl w:val="0"/>
        </w:rPr>
      </w:r>
    </w:p>
    <w:p w:rsidR="00000000" w:rsidDel="00000000" w:rsidP="00000000" w:rsidRDefault="00000000" w:rsidRPr="00000000" w14:paraId="0000026C">
      <w:pPr>
        <w:spacing w:after="40" w:before="40" w:line="276" w:lineRule="auto"/>
        <w:rPr/>
      </w:pPr>
      <w:r w:rsidDel="00000000" w:rsidR="00000000" w:rsidRPr="00000000">
        <w:rPr>
          <w:rFonts w:ascii="Times New Roman" w:cs="Times New Roman" w:eastAsia="Times New Roman" w:hAnsi="Times New Roman"/>
          <w:sz w:val="20"/>
          <w:szCs w:val="20"/>
          <w:rtl w:val="0"/>
        </w:rPr>
        <w:t xml:space="preserve">[14] Zheng, Q., et al.: Just-in-Time Defect Prediction Using XAI. J. Syst. Softw. (2022).</w:t>
      </w:r>
      <w:r w:rsidDel="00000000" w:rsidR="00000000" w:rsidRPr="00000000">
        <w:rPr>
          <w:rtl w:val="0"/>
        </w:rPr>
      </w:r>
    </w:p>
    <w:p w:rsidR="00000000" w:rsidDel="00000000" w:rsidP="00000000" w:rsidRDefault="00000000" w:rsidRPr="00000000" w14:paraId="0000026D">
      <w:pPr>
        <w:spacing w:after="40" w:before="40" w:line="276" w:lineRule="auto"/>
        <w:rPr/>
      </w:pPr>
      <w:r w:rsidDel="00000000" w:rsidR="00000000" w:rsidRPr="00000000">
        <w:rPr>
          <w:rFonts w:ascii="Times New Roman" w:cs="Times New Roman" w:eastAsia="Times New Roman" w:hAnsi="Times New Roman"/>
          <w:sz w:val="20"/>
          <w:szCs w:val="20"/>
          <w:rtl w:val="0"/>
        </w:rPr>
        <w:t xml:space="preserve">[15] Schulte, R., et al.: Explainable Issue Prediction in Modern Software Systems. Empir. Softw. Eng. (2024).</w:t>
      </w:r>
      <w:r w:rsidDel="00000000" w:rsidR="00000000" w:rsidRPr="00000000">
        <w:rPr>
          <w:rtl w:val="0"/>
        </w:rPr>
      </w:r>
    </w:p>
    <w:p w:rsidR="00000000" w:rsidDel="00000000" w:rsidP="00000000" w:rsidRDefault="00000000" w:rsidRPr="00000000" w14:paraId="0000026E">
      <w:pPr>
        <w:spacing w:after="40" w:before="40" w:line="276" w:lineRule="auto"/>
        <w:rPr/>
      </w:pPr>
      <w:r w:rsidDel="00000000" w:rsidR="00000000" w:rsidRPr="00000000">
        <w:rPr>
          <w:rFonts w:ascii="Times New Roman" w:cs="Times New Roman" w:eastAsia="Times New Roman" w:hAnsi="Times New Roman"/>
          <w:sz w:val="20"/>
          <w:szCs w:val="20"/>
          <w:rtl w:val="0"/>
        </w:rPr>
        <w:t xml:space="preserve">[16] Al-Smadi, M., et al.: Improving Software Defect Prediction Using Hybrid Machine Learning Models. J. King Saud Univ. (2023).</w:t>
      </w:r>
      <w:r w:rsidDel="00000000" w:rsidR="00000000" w:rsidRPr="00000000">
        <w:rPr>
          <w:rtl w:val="0"/>
        </w:rPr>
      </w:r>
    </w:p>
    <w:p w:rsidR="00000000" w:rsidDel="00000000" w:rsidP="00000000" w:rsidRDefault="00000000" w:rsidRPr="00000000" w14:paraId="0000026F">
      <w:pPr>
        <w:spacing w:after="40" w:before="40" w:line="276" w:lineRule="auto"/>
        <w:rPr/>
      </w:pPr>
      <w:r w:rsidDel="00000000" w:rsidR="00000000" w:rsidRPr="00000000">
        <w:rPr>
          <w:rFonts w:ascii="Times New Roman" w:cs="Times New Roman" w:eastAsia="Times New Roman" w:hAnsi="Times New Roman"/>
          <w:sz w:val="20"/>
          <w:szCs w:val="20"/>
          <w:rtl w:val="0"/>
        </w:rPr>
        <w:t xml:space="preserve">[17] Wang, Z., et al.: Deep Learning for Software Defect Detection. Electronics (2024).</w:t>
      </w:r>
      <w:r w:rsidDel="00000000" w:rsidR="00000000" w:rsidRPr="00000000">
        <w:rPr>
          <w:rtl w:val="0"/>
        </w:rPr>
      </w:r>
    </w:p>
    <w:p w:rsidR="00000000" w:rsidDel="00000000" w:rsidP="00000000" w:rsidRDefault="00000000" w:rsidRPr="00000000" w14:paraId="00000270">
      <w:pPr>
        <w:spacing w:after="40" w:before="40" w:line="276" w:lineRule="auto"/>
        <w:rPr/>
      </w:pPr>
      <w:r w:rsidDel="00000000" w:rsidR="00000000" w:rsidRPr="00000000">
        <w:rPr>
          <w:rFonts w:ascii="Times New Roman" w:cs="Times New Roman" w:eastAsia="Times New Roman" w:hAnsi="Times New Roman"/>
          <w:sz w:val="20"/>
          <w:szCs w:val="20"/>
          <w:rtl w:val="0"/>
        </w:rPr>
        <w:t xml:space="preserve">[18] PROMISE Repository: Software Engineering Dataset Archive (2005–2025). https://promise.site.uottawa.ca/SERepository/</w:t>
      </w:r>
      <w:r w:rsidDel="00000000" w:rsidR="00000000" w:rsidRPr="00000000">
        <w:rPr>
          <w:rtl w:val="0"/>
        </w:rPr>
      </w:r>
    </w:p>
    <w:p w:rsidR="00000000" w:rsidDel="00000000" w:rsidP="00000000" w:rsidRDefault="00000000" w:rsidRPr="00000000" w14:paraId="00000271">
      <w:pPr>
        <w:spacing w:after="40" w:before="40" w:line="276" w:lineRule="auto"/>
        <w:rPr/>
      </w:pPr>
      <w:r w:rsidDel="00000000" w:rsidR="00000000" w:rsidRPr="00000000">
        <w:rPr>
          <w:rFonts w:ascii="Times New Roman" w:cs="Times New Roman" w:eastAsia="Times New Roman" w:hAnsi="Times New Roman"/>
          <w:sz w:val="20"/>
          <w:szCs w:val="20"/>
          <w:rtl w:val="0"/>
        </w:rPr>
        <w:t xml:space="preserve">[19] Just, R., Jalali, D., Ernst, M.D.: Defects4J: A Database of Real Faults. Proc. ISSTA (2014).</w:t>
      </w:r>
      <w:r w:rsidDel="00000000" w:rsidR="00000000" w:rsidRPr="00000000">
        <w:rPr>
          <w:rtl w:val="0"/>
        </w:rPr>
      </w:r>
    </w:p>
    <w:p w:rsidR="00000000" w:rsidDel="00000000" w:rsidP="00000000" w:rsidRDefault="00000000" w:rsidRPr="00000000" w14:paraId="00000272">
      <w:pPr>
        <w:spacing w:after="40" w:before="40" w:line="276" w:lineRule="auto"/>
        <w:rPr/>
      </w:pPr>
      <w:r w:rsidDel="00000000" w:rsidR="00000000" w:rsidRPr="00000000">
        <w:rPr>
          <w:rFonts w:ascii="Times New Roman" w:cs="Times New Roman" w:eastAsia="Times New Roman" w:hAnsi="Times New Roman"/>
          <w:sz w:val="20"/>
          <w:szCs w:val="20"/>
          <w:rtl w:val="0"/>
        </w:rPr>
        <w:t xml:space="preserve">[20] Shepperd, M., et al.: A Replicated Analysis of the Software Defect Prediction Literature. Empir. Softw. Eng. (2017).</w:t>
      </w:r>
      <w:r w:rsidDel="00000000" w:rsidR="00000000" w:rsidRPr="00000000">
        <w:rPr>
          <w:rtl w:val="0"/>
        </w:rPr>
      </w:r>
    </w:p>
    <w:p w:rsidR="00000000" w:rsidDel="00000000" w:rsidP="00000000" w:rsidRDefault="00000000" w:rsidRPr="00000000" w14:paraId="00000273">
      <w:pPr>
        <w:spacing w:after="40" w:before="40" w:line="276" w:lineRule="auto"/>
        <w:rPr/>
      </w:pPr>
      <w:r w:rsidDel="00000000" w:rsidR="00000000" w:rsidRPr="00000000">
        <w:rPr>
          <w:rFonts w:ascii="Times New Roman" w:cs="Times New Roman" w:eastAsia="Times New Roman" w:hAnsi="Times New Roman"/>
          <w:sz w:val="20"/>
          <w:szCs w:val="20"/>
          <w:rtl w:val="0"/>
        </w:rPr>
        <w:t xml:space="preserve">[21] Shepperd, M., et al.: Data Quality Issues in Software Defect Prediction. IEEE Trans. Softw. Eng. (2013).</w:t>
      </w:r>
      <w:r w:rsidDel="00000000" w:rsidR="00000000" w:rsidRPr="00000000">
        <w:rPr>
          <w:rtl w:val="0"/>
        </w:rPr>
      </w:r>
    </w:p>
    <w:p w:rsidR="00000000" w:rsidDel="00000000" w:rsidP="00000000" w:rsidRDefault="00000000" w:rsidRPr="00000000" w14:paraId="00000274">
      <w:pPr>
        <w:spacing w:after="40" w:before="40" w:line="276" w:lineRule="auto"/>
        <w:rPr/>
      </w:pPr>
      <w:r w:rsidDel="00000000" w:rsidR="00000000" w:rsidRPr="00000000">
        <w:rPr>
          <w:rFonts w:ascii="Times New Roman" w:cs="Times New Roman" w:eastAsia="Times New Roman" w:hAnsi="Times New Roman"/>
          <w:sz w:val="20"/>
          <w:szCs w:val="20"/>
          <w:rtl w:val="0"/>
        </w:rPr>
        <w:t xml:space="preserve">[22] Breiman, L.: Random Forests. Mach. Learn. (2001).</w:t>
      </w:r>
      <w:r w:rsidDel="00000000" w:rsidR="00000000" w:rsidRPr="00000000">
        <w:rPr>
          <w:rtl w:val="0"/>
        </w:rPr>
      </w:r>
    </w:p>
    <w:p w:rsidR="00000000" w:rsidDel="00000000" w:rsidP="00000000" w:rsidRDefault="00000000" w:rsidRPr="00000000" w14:paraId="00000275">
      <w:pPr>
        <w:spacing w:after="40" w:before="40" w:line="276" w:lineRule="auto"/>
        <w:rPr/>
      </w:pPr>
      <w:r w:rsidDel="00000000" w:rsidR="00000000" w:rsidRPr="00000000">
        <w:rPr>
          <w:rFonts w:ascii="Times New Roman" w:cs="Times New Roman" w:eastAsia="Times New Roman" w:hAnsi="Times New Roman"/>
          <w:sz w:val="20"/>
          <w:szCs w:val="20"/>
          <w:rtl w:val="0"/>
        </w:rPr>
        <w:t xml:space="preserve">[23] Chen, T., Guestrin, C.: XGBoost: A Scalable Tree Boosting System. arXiv:1603.02754 (2016).</w:t>
      </w:r>
      <w:r w:rsidDel="00000000" w:rsidR="00000000" w:rsidRPr="00000000">
        <w:rPr>
          <w:rtl w:val="0"/>
        </w:rPr>
      </w:r>
    </w:p>
    <w:p w:rsidR="00000000" w:rsidDel="00000000" w:rsidP="00000000" w:rsidRDefault="00000000" w:rsidRPr="00000000" w14:paraId="00000276">
      <w:pPr>
        <w:spacing w:after="40" w:before="40" w:line="276" w:lineRule="auto"/>
        <w:rPr/>
      </w:pPr>
      <w:r w:rsidDel="00000000" w:rsidR="00000000" w:rsidRPr="00000000">
        <w:rPr>
          <w:rFonts w:ascii="Times New Roman" w:cs="Times New Roman" w:eastAsia="Times New Roman" w:hAnsi="Times New Roman"/>
          <w:sz w:val="20"/>
          <w:szCs w:val="20"/>
          <w:rtl w:val="0"/>
        </w:rPr>
        <w:t xml:space="preserve">[24] Xu, B., et al.: Predicting Defects with Code Metrics Using Ensemble Learning. Proc. ISSRE (2016).</w:t>
      </w:r>
      <w:r w:rsidDel="00000000" w:rsidR="00000000" w:rsidRPr="00000000">
        <w:rPr>
          <w:rtl w:val="0"/>
        </w:rPr>
      </w:r>
    </w:p>
    <w:p w:rsidR="00000000" w:rsidDel="00000000" w:rsidP="00000000" w:rsidRDefault="00000000" w:rsidRPr="00000000" w14:paraId="00000277">
      <w:pPr>
        <w:spacing w:after="40" w:before="40" w:line="276" w:lineRule="auto"/>
        <w:rPr/>
      </w:pPr>
      <w:r w:rsidDel="00000000" w:rsidR="00000000" w:rsidRPr="00000000">
        <w:rPr>
          <w:rFonts w:ascii="Times New Roman" w:cs="Times New Roman" w:eastAsia="Times New Roman" w:hAnsi="Times New Roman"/>
          <w:sz w:val="20"/>
          <w:szCs w:val="20"/>
          <w:rtl w:val="0"/>
        </w:rPr>
        <w:t xml:space="preserve">[25] Taskeen, S., et al.: Automated Bug Prediction Using Modern ML Pipelines. Softw. Pract. Exp. (2023).</w:t>
      </w:r>
      <w:r w:rsidDel="00000000" w:rsidR="00000000" w:rsidRPr="00000000">
        <w:rPr>
          <w:rtl w:val="0"/>
        </w:rPr>
      </w:r>
    </w:p>
    <w:p w:rsidR="00000000" w:rsidDel="00000000" w:rsidP="00000000" w:rsidRDefault="00000000" w:rsidRPr="00000000" w14:paraId="00000278">
      <w:pPr>
        <w:spacing w:after="40" w:before="40" w:line="276" w:lineRule="auto"/>
        <w:rPr/>
      </w:pPr>
      <w:r w:rsidDel="00000000" w:rsidR="00000000" w:rsidRPr="00000000">
        <w:rPr>
          <w:rFonts w:ascii="Times New Roman" w:cs="Times New Roman" w:eastAsia="Times New Roman" w:hAnsi="Times New Roman"/>
          <w:sz w:val="20"/>
          <w:szCs w:val="20"/>
          <w:rtl w:val="0"/>
        </w:rPr>
        <w:t xml:space="preserve">[26] D'Ambros, M., Lanza, M., Robbes, R.: Evaluating Defect Prediction Approaches: A Benchmark and an Extensive Comparison. Empir. Softw. Eng. 17(4–5), 531–577 (2012).</w:t>
      </w:r>
      <w:r w:rsidDel="00000000" w:rsidR="00000000" w:rsidRPr="00000000">
        <w:rPr>
          <w:rtl w:val="0"/>
        </w:rPr>
      </w:r>
    </w:p>
    <w:p w:rsidR="00000000" w:rsidDel="00000000" w:rsidP="00000000" w:rsidRDefault="00000000" w:rsidRPr="00000000" w14:paraId="00000279">
      <w:pPr>
        <w:spacing w:after="40" w:before="40" w:line="276" w:lineRule="auto"/>
        <w:rPr/>
      </w:pPr>
      <w:r w:rsidDel="00000000" w:rsidR="00000000" w:rsidRPr="00000000">
        <w:rPr>
          <w:rFonts w:ascii="Times New Roman" w:cs="Times New Roman" w:eastAsia="Times New Roman" w:hAnsi="Times New Roman"/>
          <w:sz w:val="20"/>
          <w:szCs w:val="20"/>
          <w:rtl w:val="0"/>
        </w:rPr>
        <w:t xml:space="preserve">[27] Kazmi, R., et al.: Performance Comparison of Multi-objective Algorithms for Test Case Prioritization during Web Application Testing. IEEE Access (2022).</w:t>
      </w:r>
      <w:r w:rsidDel="00000000" w:rsidR="00000000" w:rsidRPr="00000000">
        <w:rPr>
          <w:rtl w:val="0"/>
        </w:rPr>
      </w:r>
    </w:p>
    <w:p w:rsidR="00000000" w:rsidDel="00000000" w:rsidP="00000000" w:rsidRDefault="00000000" w:rsidRPr="00000000" w14:paraId="0000027A">
      <w:pPr>
        <w:spacing w:after="40" w:before="40" w:line="276" w:lineRule="auto"/>
        <w:rPr/>
      </w:pPr>
      <w:r w:rsidDel="00000000" w:rsidR="00000000" w:rsidRPr="00000000">
        <w:rPr>
          <w:rFonts w:ascii="Times New Roman" w:cs="Times New Roman" w:eastAsia="Times New Roman" w:hAnsi="Times New Roman"/>
          <w:sz w:val="20"/>
          <w:szCs w:val="20"/>
          <w:rtl w:val="0"/>
        </w:rPr>
        <w:t xml:space="preserve">[28] Kazmi, R., et al.: Search for Prioritized Test Cases in Multi-objective Environment during Web Application Testing. Expert Syst. Appl. (2021).</w:t>
      </w:r>
      <w:r w:rsidDel="00000000" w:rsidR="00000000" w:rsidRPr="00000000">
        <w:rPr>
          <w:rtl w:val="0"/>
        </w:rPr>
      </w:r>
    </w:p>
    <w:p w:rsidR="00000000" w:rsidDel="00000000" w:rsidP="00000000" w:rsidRDefault="00000000" w:rsidRPr="00000000" w14:paraId="0000027B">
      <w:pPr>
        <w:spacing w:after="40" w:before="40" w:line="276" w:lineRule="auto"/>
        <w:rPr/>
      </w:pPr>
      <w:r w:rsidDel="00000000" w:rsidR="00000000" w:rsidRPr="00000000">
        <w:rPr>
          <w:rFonts w:ascii="Times New Roman" w:cs="Times New Roman" w:eastAsia="Times New Roman" w:hAnsi="Times New Roman"/>
          <w:sz w:val="20"/>
          <w:szCs w:val="20"/>
          <w:rtl w:val="0"/>
        </w:rPr>
        <w:t xml:space="preserve">[29] Kazmi, R., et al.: Search for Prioritized Test Cases during Web Application Testing. Soft Comput. (2020).</w:t>
      </w:r>
      <w:r w:rsidDel="00000000" w:rsidR="00000000" w:rsidRPr="00000000">
        <w:rPr>
          <w:rtl w:val="0"/>
        </w:rPr>
      </w:r>
    </w:p>
    <w:p w:rsidR="00000000" w:rsidDel="00000000" w:rsidP="00000000" w:rsidRDefault="00000000" w:rsidRPr="00000000" w14:paraId="0000027C">
      <w:pPr>
        <w:spacing w:after="40" w:before="40" w:line="276" w:lineRule="auto"/>
        <w:rPr/>
      </w:pPr>
      <w:r w:rsidDel="00000000" w:rsidR="00000000" w:rsidRPr="00000000">
        <w:rPr>
          <w:rFonts w:ascii="Times New Roman" w:cs="Times New Roman" w:eastAsia="Times New Roman" w:hAnsi="Times New Roman"/>
          <w:sz w:val="20"/>
          <w:szCs w:val="20"/>
          <w:rtl w:val="0"/>
        </w:rPr>
        <w:t xml:space="preserve">[30] Haldar, R.: Modern Techniques in Explainable Software Analytics. Computers (2024).</w:t>
      </w:r>
      <w:r w:rsidDel="00000000" w:rsidR="00000000" w:rsidRPr="00000000">
        <w:rPr>
          <w:rtl w:val="0"/>
        </w:rPr>
      </w:r>
    </w:p>
    <w:p w:rsidR="00000000" w:rsidDel="00000000" w:rsidP="00000000" w:rsidRDefault="00000000" w:rsidRPr="00000000" w14:paraId="0000027D">
      <w:pPr>
        <w:spacing w:after="40" w:before="40" w:line="276" w:lineRule="auto"/>
        <w:rPr/>
      </w:pPr>
      <w:r w:rsidDel="00000000" w:rsidR="00000000" w:rsidRPr="00000000">
        <w:rPr>
          <w:rFonts w:ascii="Times New Roman" w:cs="Times New Roman" w:eastAsia="Times New Roman" w:hAnsi="Times New Roman"/>
          <w:sz w:val="20"/>
          <w:szCs w:val="20"/>
          <w:rtl w:val="0"/>
        </w:rPr>
        <w:t xml:space="preserve">[31] Zhao, L., et al.: A Feature Selection Method for Software Defect Prediction Based on Mutual Information and Ensemble Learning. IEEE Access (2021).</w:t>
      </w:r>
      <w:r w:rsidDel="00000000" w:rsidR="00000000" w:rsidRPr="00000000">
        <w:rPr>
          <w:rtl w:val="0"/>
        </w:rPr>
      </w:r>
    </w:p>
    <w:p w:rsidR="00000000" w:rsidDel="00000000" w:rsidP="00000000" w:rsidRDefault="00000000" w:rsidRPr="00000000" w14:paraId="0000027E">
      <w:pPr>
        <w:spacing w:after="40" w:before="40" w:line="276" w:lineRule="auto"/>
        <w:rPr/>
      </w:pPr>
      <w:r w:rsidDel="00000000" w:rsidR="00000000" w:rsidRPr="00000000">
        <w:rPr>
          <w:rFonts w:ascii="Times New Roman" w:cs="Times New Roman" w:eastAsia="Times New Roman" w:hAnsi="Times New Roman"/>
          <w:sz w:val="20"/>
          <w:szCs w:val="20"/>
          <w:rtl w:val="0"/>
        </w:rPr>
        <w:t xml:space="preserve">[32] Pedregosa, F., et al.: Scikit-Learn: Machine Learning in Python. J. Mach. Learn. Res. (2011).</w:t>
      </w:r>
      <w:r w:rsidDel="00000000" w:rsidR="00000000" w:rsidRPr="00000000">
        <w:rPr>
          <w:rtl w:val="0"/>
        </w:rPr>
      </w:r>
    </w:p>
    <w:p w:rsidR="00000000" w:rsidDel="00000000" w:rsidP="00000000" w:rsidRDefault="00000000" w:rsidRPr="00000000" w14:paraId="0000027F">
      <w:pPr>
        <w:spacing w:after="40" w:before="40" w:line="276" w:lineRule="auto"/>
        <w:rPr/>
      </w:pPr>
      <w:r w:rsidDel="00000000" w:rsidR="00000000" w:rsidRPr="00000000">
        <w:rPr>
          <w:rFonts w:ascii="Times New Roman" w:cs="Times New Roman" w:eastAsia="Times New Roman" w:hAnsi="Times New Roman"/>
          <w:sz w:val="20"/>
          <w:szCs w:val="20"/>
          <w:rtl w:val="0"/>
        </w:rPr>
        <w:t xml:space="preserve">[33] Lemaître, G., et al.: Imbalanced-Learn: A Python Toolbox. J. Mach. Learn. Res. (2017).</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