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52"/>
          <w:szCs w:val="52"/>
        </w:rPr>
        <w:t xml:space="preserve">FINANCIAL MARKET ANALYZER</w:t>
      </w:r>
    </w:p>
    <w:p>
      <w:pPr>
        <w:spacing w:after="80" w:before="0"/>
        <w:jc w:val="center"/>
      </w:pPr>
      <w:r>
        <w:rPr>
          <w:rFonts w:ascii="Arial" w:cs="Arial" w:eastAsia="Arial" w:hAnsi="Arial"/>
          <w:color w:val="2E75B6"/>
          <w:sz w:val="32"/>
          <w:szCs w:val="32"/>
        </w:rPr>
        <w:t xml:space="preserve">Project Explanation Report</w:t>
      </w:r>
    </w:p>
    <w:p>
      <w:pPr>
        <w:spacing w:after="600" w:before="0"/>
        <w:jc w:val="center"/>
      </w:pPr>
      <w:r>
        <w:rPr>
          <w:rFonts w:ascii="Arial" w:cs="Arial" w:eastAsia="Arial" w:hAnsi="Arial"/>
          <w:i/>
          <w:iCs/>
          <w:color w:val="595959"/>
          <w:sz w:val="20"/>
          <w:szCs w:val="20"/>
        </w:rPr>
        <w:t xml:space="preserve">Technical Indicators  •  Trend Analysis  •  Interactive Visualizations  •  Volatility Analysis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D6E4F7" w:val="clear"/>
            <w:tcMar>
              <w:top w:type="dxa" w:w="100"/>
              <w:left w:type="dxa" w:w="200"/>
              <w:bottom w:type="dxa" w:w="100"/>
              <w:right w:type="dxa" w:w="200"/>
            </w:tcMar>
          </w:tcPr>
          <w:p>
            <w:r>
              <w:rPr>
                <w:rFonts w:ascii="Arial" w:cs="Arial" w:eastAsia="Arial" w:hAnsi="Arial"/>
                <w:b/>
                <w:bCs/>
                <w:color w:val="1F3864"/>
                <w:sz w:val="20"/>
                <w:szCs w:val="20"/>
              </w:rPr>
              <w:t xml:space="preserve">Language</w:t>
            </w:r>
          </w:p>
        </w:tc>
        <w:tc>
          <w:tcPr>
            <w:tcW w:type="dxa" w:w="3000"/>
            <w:tcBorders>
              <w:top w:val="single" w:color="CCCCCC" w:sz="1"/>
              <w:left w:val="single" w:color="CCCCCC" w:sz="1"/>
              <w:bottom w:val="single" w:color="CCCCCC" w:sz="1"/>
              <w:right w:val="single" w:color="CCCCCC" w:sz="1"/>
            </w:tcBorders>
            <w:shd w:fill="F5F9FF" w:val="clear"/>
            <w:tcMar>
              <w:top w:type="dxa" w:w="100"/>
              <w:left w:type="dxa" w:w="200"/>
              <w:bottom w:type="dxa" w:w="100"/>
              <w:right w:type="dxa" w:w="200"/>
            </w:tcMar>
          </w:tcPr>
          <w:p>
            <w:r>
              <w:rPr>
                <w:rFonts w:ascii="Arial" w:cs="Arial" w:eastAsia="Arial" w:hAnsi="Arial"/>
                <w:color w:val="404040"/>
                <w:sz w:val="20"/>
                <w:szCs w:val="20"/>
              </w:rPr>
              <w:t xml:space="preserve">Python 3.x</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200"/>
              <w:bottom w:type="dxa" w:w="100"/>
              <w:right w:type="dxa" w:w="200"/>
            </w:tcMar>
          </w:tcPr>
          <w:p>
            <w:r>
              <w:rPr>
                <w:rFonts w:ascii="Arial" w:cs="Arial" w:eastAsia="Arial" w:hAnsi="Arial"/>
                <w:b/>
                <w:bCs/>
                <w:color w:val="1F3864"/>
                <w:sz w:val="20"/>
                <w:szCs w:val="20"/>
              </w:rPr>
              <w:t xml:space="preserve">Domain</w:t>
            </w:r>
          </w:p>
        </w:tc>
        <w:tc>
          <w:tcPr>
            <w:tcW w:type="dxa" w:w="3000"/>
            <w:tcBorders>
              <w:top w:val="single" w:color="CCCCCC" w:sz="1"/>
              <w:left w:val="single" w:color="CCCCCC" w:sz="1"/>
              <w:bottom w:val="single" w:color="CCCCCC" w:sz="1"/>
              <w:right w:val="single" w:color="CCCCCC" w:sz="1"/>
            </w:tcBorders>
            <w:shd w:fill="F5F9FF" w:val="clear"/>
            <w:tcMar>
              <w:top w:type="dxa" w:w="100"/>
              <w:left w:type="dxa" w:w="200"/>
              <w:bottom w:type="dxa" w:w="100"/>
              <w:right w:type="dxa" w:w="200"/>
            </w:tcMar>
          </w:tcPr>
          <w:p>
            <w:r>
              <w:rPr>
                <w:rFonts w:ascii="Arial" w:cs="Arial" w:eastAsia="Arial" w:hAnsi="Arial"/>
                <w:color w:val="404040"/>
                <w:sz w:val="20"/>
                <w:szCs w:val="20"/>
              </w:rPr>
              <w:t xml:space="preserve">Financial Data Analysis</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200"/>
              <w:bottom w:type="dxa" w:w="100"/>
              <w:right w:type="dxa" w:w="200"/>
            </w:tcMar>
          </w:tcPr>
          <w:p>
            <w:r>
              <w:rPr>
                <w:rFonts w:ascii="Arial" w:cs="Arial" w:eastAsia="Arial" w:hAnsi="Arial"/>
                <w:b/>
                <w:bCs/>
                <w:color w:val="1F3864"/>
                <w:sz w:val="20"/>
                <w:szCs w:val="20"/>
              </w:rPr>
              <w:t xml:space="preserve">Report Type</w:t>
            </w:r>
          </w:p>
        </w:tc>
        <w:tc>
          <w:tcPr>
            <w:tcW w:type="dxa" w:w="3000"/>
            <w:tcBorders>
              <w:top w:val="single" w:color="CCCCCC" w:sz="1"/>
              <w:left w:val="single" w:color="CCCCCC" w:sz="1"/>
              <w:bottom w:val="single" w:color="CCCCCC" w:sz="1"/>
              <w:right w:val="single" w:color="CCCCCC" w:sz="1"/>
            </w:tcBorders>
            <w:shd w:fill="F5F9FF" w:val="clear"/>
            <w:tcMar>
              <w:top w:type="dxa" w:w="100"/>
              <w:left w:type="dxa" w:w="200"/>
              <w:bottom w:type="dxa" w:w="100"/>
              <w:right w:type="dxa" w:w="200"/>
            </w:tcMar>
          </w:tcPr>
          <w:p>
            <w:r>
              <w:rPr>
                <w:rFonts w:ascii="Arial" w:cs="Arial" w:eastAsia="Arial" w:hAnsi="Arial"/>
                <w:color w:val="404040"/>
                <w:sz w:val="20"/>
                <w:szCs w:val="20"/>
              </w:rPr>
              <w:t xml:space="preserve">Technical Explanation</w:t>
            </w:r>
          </w:p>
        </w:tc>
      </w:tr>
    </w:tbl>
    <w:p>
      <w:pPr>
        <w:spacing w:after="60" w:before="60"/>
      </w:pPr>
      <w:r>
        <w:t xml:space="preserve"/>
      </w:r>
    </w:p>
    <w:p>
      <w:pPr>
        <w:spacing w:after="60" w:before="60"/>
      </w:pPr>
      <w:r>
        <w:t xml:space="preserve"/>
      </w:r>
    </w:p>
    <w:p>
      <w:pPr>
        <w:pStyle w:val="Heading1"/>
        <w:pBdr>
          <w:bottom w:val="single" w:color="2E75B6" w:sz="8" w:space="4"/>
        </w:pBdr>
        <w:spacing w:after="160" w:before="360"/>
      </w:pPr>
      <w:r>
        <w:rPr>
          <w:rFonts w:ascii="Arial" w:cs="Arial" w:eastAsia="Arial" w:hAnsi="Arial"/>
          <w:b/>
          <w:bCs/>
          <w:color w:val="1F3864"/>
          <w:sz w:val="32"/>
          <w:szCs w:val="32"/>
        </w:rPr>
        <w:t xml:space="preserve">1. Project Overview</w:t>
      </w:r>
    </w:p>
    <w:p>
      <w:pPr>
        <w:spacing w:after="120" w:before="80" w:line="320"/>
      </w:pPr>
      <w:r>
        <w:rPr>
          <w:rFonts w:ascii="Arial" w:cs="Arial" w:eastAsia="Arial" w:hAnsi="Arial"/>
          <w:color w:val="404040"/>
          <w:sz w:val="22"/>
          <w:szCs w:val="22"/>
        </w:rPr>
        <w:t xml:space="preserve">The Financial Market Analyzer is a Python-based data analysis project designed to study and interpret stock and cryptocurrency market trends. By combining statistical computations with powerful charting libraries, the project transforms raw price and volume data into meaningful, actionable visual insights that can support investment decision-making.</w:t>
      </w:r>
    </w:p>
    <w:p>
      <w:pPr>
        <w:spacing w:after="60" w:before="60"/>
      </w:pPr>
      <w:r>
        <w:t xml:space="preserve"/>
      </w:r>
    </w:p>
    <w:p>
      <w:pPr>
        <w:spacing w:after="120" w:before="80" w:line="320"/>
      </w:pPr>
      <w:r>
        <w:rPr>
          <w:rFonts w:ascii="Arial" w:cs="Arial" w:eastAsia="Arial" w:hAnsi="Arial"/>
          <w:color w:val="404040"/>
          <w:sz w:val="22"/>
          <w:szCs w:val="22"/>
        </w:rPr>
        <w:t xml:space="preserve">The core idea behind this project is to apply a structured data-analysis pipeline: starting from raw historical market data, cleaning and enriching it with technical indicators, and finally producing a range of static and interactive visualizations that reveal market behaviour at different timescales.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1.1 Primary Objectives</w:t>
      </w:r>
    </w:p>
    <w:p>
      <w:pPr>
        <w:pStyle w:val="ListParagraph"/>
        <w:numPr>
          <w:ilvl w:val="0"/>
          <w:numId w:val="2"/>
        </w:numPr>
        <w:spacing w:after="60" w:before="60"/>
      </w:pPr>
      <w:r>
        <w:rPr>
          <w:rFonts w:ascii="Arial" w:cs="Arial" w:eastAsia="Arial" w:hAnsi="Arial"/>
          <w:color w:val="404040"/>
          <w:sz w:val="22"/>
          <w:szCs w:val="22"/>
        </w:rPr>
        <w:t xml:space="preserve">Apply technical indicators such as Simple Moving Average (SMA) and Exponential Moving Average (EMA) to smooth and interpret price data.</w:t>
      </w:r>
    </w:p>
    <w:p>
      <w:pPr>
        <w:pStyle w:val="ListParagraph"/>
        <w:numPr>
          <w:ilvl w:val="0"/>
          <w:numId w:val="2"/>
        </w:numPr>
        <w:spacing w:after="60" w:before="60"/>
      </w:pPr>
      <w:r>
        <w:rPr>
          <w:rFonts w:ascii="Arial" w:cs="Arial" w:eastAsia="Arial" w:hAnsi="Arial"/>
          <w:color w:val="404040"/>
          <w:sz w:val="22"/>
          <w:szCs w:val="22"/>
        </w:rPr>
        <w:t xml:space="preserve">Perform trend analysis to identify long-term directional movements in asset prices.</w:t>
      </w:r>
    </w:p>
    <w:p>
      <w:pPr>
        <w:pStyle w:val="ListParagraph"/>
        <w:numPr>
          <w:ilvl w:val="0"/>
          <w:numId w:val="2"/>
        </w:numPr>
        <w:spacing w:after="60" w:before="60"/>
      </w:pPr>
      <w:r>
        <w:rPr>
          <w:rFonts w:ascii="Arial" w:cs="Arial" w:eastAsia="Arial" w:hAnsi="Arial"/>
          <w:color w:val="404040"/>
          <w:sz w:val="22"/>
          <w:szCs w:val="22"/>
        </w:rPr>
        <w:t xml:space="preserve">Build interactive visualizations that allow detailed exploration of price action over time.</w:t>
      </w:r>
    </w:p>
    <w:p>
      <w:pPr>
        <w:pStyle w:val="ListParagraph"/>
        <w:numPr>
          <w:ilvl w:val="0"/>
          <w:numId w:val="2"/>
        </w:numPr>
        <w:spacing w:after="60" w:before="60"/>
      </w:pPr>
      <w:r>
        <w:rPr>
          <w:rFonts w:ascii="Arial" w:cs="Arial" w:eastAsia="Arial" w:hAnsi="Arial"/>
          <w:color w:val="404040"/>
          <w:sz w:val="22"/>
          <w:szCs w:val="22"/>
        </w:rPr>
        <w:t xml:space="preserve">Analyse market volatility to quantify uncertainty and risk within different trading periods.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1.2 Technology Stack</w:t>
      </w:r>
    </w:p>
    <w:p>
      <w:pPr>
        <w:spacing w:after="120" w:before="80" w:line="320"/>
      </w:pPr>
      <w:r>
        <w:rPr>
          <w:rFonts w:ascii="Arial" w:cs="Arial" w:eastAsia="Arial" w:hAnsi="Arial"/>
          <w:color w:val="404040"/>
          <w:sz w:val="22"/>
          <w:szCs w:val="22"/>
        </w:rPr>
        <w:t xml:space="preserve">The following Python libraries form the core of this project: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 Column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75B6"/>
                <w:sz w:val="20"/>
                <w:szCs w:val="20"/>
              </w:rPr>
              <w:t xml:space="preserve">Python</w:t>
            </w:r>
          </w:p>
        </w:tc>
        <w:tc>
          <w:tcPr>
            <w:tcW w:type="dxa" w:w="6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404040"/>
                <w:sz w:val="20"/>
                <w:szCs w:val="20"/>
              </w:rPr>
              <w:t xml:space="preserve">Primary programming language used for data loading, processing, and visualization.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Pandas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Data manipulation library used for reading CSV files, handling missing values, and engineering features.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75B6"/>
                <w:sz w:val="20"/>
                <w:szCs w:val="20"/>
              </w:rPr>
              <w:t xml:space="preserve">NumPy</w:t>
            </w:r>
          </w:p>
        </w:tc>
        <w:tc>
          <w:tcPr>
            <w:tcW w:type="dxa" w:w="6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404040"/>
                <w:sz w:val="20"/>
                <w:szCs w:val="20"/>
              </w:rPr>
              <w:t xml:space="preserve">Numerical computing library that powers mathematical operations underlying technical indicators.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Matplotlib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Static 2D plotting library used to generate line charts and bar charts for trend and volume analysis.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75B6"/>
                <w:sz w:val="20"/>
                <w:szCs w:val="20"/>
              </w:rPr>
              <w:t xml:space="preserve">Plotly</w:t>
            </w:r>
          </w:p>
        </w:tc>
        <w:tc>
          <w:tcPr>
            <w:tcW w:type="dxa" w:w="6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404040"/>
                <w:sz w:val="20"/>
                <w:szCs w:val="20"/>
              </w:rPr>
              <w:t xml:space="preserve">Interactive charting library used to create the candlestick chart, enabling zoom, hover, and pan features.</w:t>
            </w:r>
          </w:p>
        </w:tc>
      </w:tr>
    </w:tbl>
    <w:p>
      <w:pPr>
        <w:spacing w:after="60" w:before="60"/>
      </w:pPr>
      <w:r>
        <w:t xml:space="preserve"/>
      </w:r>
    </w:p>
    <w:p>
      <w:pPr>
        <w:pStyle w:val="Heading1"/>
        <w:pBdr>
          <w:bottom w:val="single" w:color="2E75B6" w:sz="8" w:space="4"/>
        </w:pBdr>
        <w:spacing w:after="160" w:before="360"/>
      </w:pPr>
      <w:r>
        <w:rPr>
          <w:rFonts w:ascii="Arial" w:cs="Arial" w:eastAsia="Arial" w:hAnsi="Arial"/>
          <w:b/>
          <w:bCs/>
          <w:color w:val="1F3864"/>
          <w:sz w:val="32"/>
          <w:szCs w:val="32"/>
        </w:rPr>
        <w:t xml:space="preserve">2. Dataset Description</w:t>
      </w:r>
    </w:p>
    <w:p>
      <w:pPr>
        <w:spacing w:after="120" w:before="80" w:line="320"/>
      </w:pPr>
      <w:r>
        <w:rPr>
          <w:rFonts w:ascii="Arial" w:cs="Arial" w:eastAsia="Arial" w:hAnsi="Arial"/>
          <w:color w:val="404040"/>
          <w:sz w:val="22"/>
          <w:szCs w:val="22"/>
        </w:rPr>
        <w:t xml:space="preserve">The project reads its input from a CSV file named financial_market_dataset.csv. This file contains historical market data recorded at a daily frequency, with each row representing one trading day. The dataset is designed to cover all dimensions of price behaviour and trading activity that are relevant to technical analysis.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2.1 Dataset Columns and Their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 Column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75B6"/>
                <w:sz w:val="20"/>
                <w:szCs w:val="20"/>
              </w:rPr>
              <w:t xml:space="preserve">Date</w:t>
            </w:r>
          </w:p>
        </w:tc>
        <w:tc>
          <w:tcPr>
            <w:tcW w:type="dxa" w:w="6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404040"/>
                <w:sz w:val="20"/>
                <w:szCs w:val="20"/>
              </w:rPr>
              <w:t xml:space="preserve">The calendar date of the trading session. Initially stored as text, this column is converted to a proper datetime object during preprocessing to support time-series operations.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Open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price at which the asset began trading at the market open for that day. Used in the candlestick chart as the session-start reference point.</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75B6"/>
                <w:sz w:val="20"/>
                <w:szCs w:val="20"/>
              </w:rPr>
              <w:t xml:space="preserve">High</w:t>
            </w:r>
          </w:p>
        </w:tc>
        <w:tc>
          <w:tcPr>
            <w:tcW w:type="dxa" w:w="6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404040"/>
                <w:sz w:val="20"/>
                <w:szCs w:val="20"/>
              </w:rPr>
              <w:t xml:space="preserve">The highest price the asset reached during the trading session. Combined with Low to represent the full intraday price range.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lowest price traded during the day. Together with High, it defines the candle shadow (wick) in a candlestick chart.</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75B6"/>
                <w:sz w:val="20"/>
                <w:szCs w:val="20"/>
              </w:rPr>
              <w:t xml:space="preserve">Close</w:t>
            </w:r>
          </w:p>
        </w:tc>
        <w:tc>
          <w:tcPr>
            <w:tcW w:type="dxa" w:w="6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404040"/>
                <w:sz w:val="20"/>
                <w:szCs w:val="20"/>
              </w:rPr>
              <w:t xml:space="preserve">The final price at which the asset traded at market close. This is the most widely used price in technical analysis and is the basis for all indicator calculations.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Volume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total number of shares or contracts traded during the day. Volume is an independent confirmation signal — rising prices on high volume are considered more reliable than on low volume.</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75B6"/>
                <w:sz w:val="20"/>
                <w:szCs w:val="20"/>
              </w:rPr>
              <w:t xml:space="preserve">SMA_10</w:t>
            </w:r>
          </w:p>
        </w:tc>
        <w:tc>
          <w:tcPr>
            <w:tcW w:type="dxa" w:w="6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404040"/>
                <w:sz w:val="20"/>
                <w:szCs w:val="20"/>
              </w:rPr>
              <w:t xml:space="preserve">The 10-day Simple Moving Average of the closing price. Calculated by averaging the last 10 closing prices with equal weight given to each 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EMA_10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The 10-day Exponential Moving Average. Unlike SMA, EMA assigns greater weight to more recent prices, making it more sensitive to short-term price changes.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E75B6"/>
                <w:sz w:val="20"/>
                <w:szCs w:val="20"/>
              </w:rPr>
              <w:t xml:space="preserve">Daily Return</w:t>
            </w:r>
          </w:p>
        </w:tc>
        <w:tc>
          <w:tcPr>
            <w:tcW w:type="dxa" w:w="6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404040"/>
                <w:sz w:val="20"/>
                <w:szCs w:val="20"/>
              </w:rPr>
              <w:t xml:space="preserve">The percentage change in the closing price from one day to the next. Represents the daily profit or loss as a proportion of the previous day's price.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Volatility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 rolling measure of price variability, typically calculated as the standard deviation of daily returns over a defined window. Higher values indicate greater market uncertainty.</w:t>
            </w:r>
          </w:p>
        </w:tc>
      </w:tr>
    </w:tbl>
    <w:p>
      <w:pPr>
        <w:spacing w:after="60" w:before="60"/>
      </w:pPr>
      <w:r>
        <w:t xml:space="preserve"/>
      </w:r>
    </w:p>
    <w:p>
      <w:pPr>
        <w:pStyle w:val="Heading1"/>
        <w:pBdr>
          <w:bottom w:val="single" w:color="2E75B6" w:sz="8" w:space="4"/>
        </w:pBdr>
        <w:spacing w:after="160" w:before="360"/>
      </w:pPr>
      <w:r>
        <w:rPr>
          <w:rFonts w:ascii="Arial" w:cs="Arial" w:eastAsia="Arial" w:hAnsi="Arial"/>
          <w:b/>
          <w:bCs/>
          <w:color w:val="1F3864"/>
          <w:sz w:val="32"/>
          <w:szCs w:val="32"/>
        </w:rPr>
        <w:t xml:space="preserve">3. Data Loading and Preprocessing</w:t>
      </w:r>
    </w:p>
    <w:p>
      <w:pPr>
        <w:spacing w:after="120" w:before="80" w:line="320"/>
      </w:pPr>
      <w:r>
        <w:rPr>
          <w:rFonts w:ascii="Arial" w:cs="Arial" w:eastAsia="Arial" w:hAnsi="Arial"/>
          <w:color w:val="404040"/>
          <w:sz w:val="22"/>
          <w:szCs w:val="22"/>
        </w:rPr>
        <w:t xml:space="preserve">Before any analysis or visualization can take place, the raw CSV data must be loaded into a structured format and cleaned to remove or handle any inconsistencies. The preprocessing stage in this project covers three essential steps.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3.1 Loading the Dataset</w:t>
      </w:r>
    </w:p>
    <w:p>
      <w:pPr>
        <w:spacing w:after="120" w:before="80" w:line="320"/>
      </w:pPr>
      <w:r>
        <w:rPr>
          <w:rFonts w:ascii="Arial" w:cs="Arial" w:eastAsia="Arial" w:hAnsi="Arial"/>
          <w:color w:val="404040"/>
          <w:sz w:val="22"/>
          <w:szCs w:val="22"/>
        </w:rPr>
        <w:t xml:space="preserve">The dataset is loaded from the CSV file into a Pandas DataFrame, which is the central data structure used throughout the project. A DataFrame organises data in a tabular format — rows represent observations (trading days) and columns represent variables (price fields, indicators, etc.). Once loaded, the first five rows are displayed to confirm that the file was read correctly and to get a preliminary view of the data structure.</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3.2 Date Conversion</w:t>
      </w:r>
    </w:p>
    <w:p>
      <w:pPr>
        <w:spacing w:after="120" w:before="80" w:line="320"/>
      </w:pPr>
      <w:r>
        <w:rPr>
          <w:rFonts w:ascii="Arial" w:cs="Arial" w:eastAsia="Arial" w:hAnsi="Arial"/>
          <w:color w:val="404040"/>
          <w:sz w:val="22"/>
          <w:szCs w:val="22"/>
        </w:rPr>
        <w:t xml:space="preserve">The Date column, as stored in a CSV file, is treated as plain text by default. For time-series analysis, Python needs to understand the chronological ordering and spacing of these dates. The conversion step transforms the Date column from a generic string type into a proper Pandas datetime object. This unlocks time-aware operations — for example, it allows Matplotlib to correctly scale the horizontal axis of a chart so that gaps between weekends and public holidays are displayed proportionally.</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3.3 Missing Value Detection and Imputation</w:t>
      </w:r>
    </w:p>
    <w:p>
      <w:pPr>
        <w:spacing w:after="120" w:before="80" w:line="320"/>
      </w:pPr>
      <w:r>
        <w:rPr>
          <w:rFonts w:ascii="Arial" w:cs="Arial" w:eastAsia="Arial" w:hAnsi="Arial"/>
          <w:color w:val="404040"/>
          <w:sz w:val="22"/>
          <w:szCs w:val="22"/>
        </w:rPr>
        <w:t xml:space="preserve">Financial datasets frequently contain missing entries due to public holidays, trading halts, or data collection failures. The preprocessing pipeline first scans every column to count any null (NaN) values present. Where missing values are found, a backward-fill strategy is applied: each missing value is replaced by the next available valid observation in the column. This approach is appropriate for financial time series because the value that follows a gap is the most natural estimate for what was missing — it avoids introducing artificial data points that could distort indicator calculations.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3.4 Dataset Inspection</w:t>
      </w:r>
    </w:p>
    <w:p>
      <w:pPr>
        <w:spacing w:after="120" w:before="80" w:line="320"/>
      </w:pPr>
      <w:r>
        <w:rPr>
          <w:rFonts w:ascii="Arial" w:cs="Arial" w:eastAsia="Arial" w:hAnsi="Arial"/>
          <w:color w:val="404040"/>
          <w:sz w:val="22"/>
          <w:szCs w:val="22"/>
        </w:rPr>
        <w:t xml:space="preserve">After cleaning, a summary of the DataFrame's structure is printed. This summary confirms the number of rows and columns, the data type inferred for each column (integer, float, or datetime), and the memory consumption of the loaded data. It acts as a final validation step before the analysis begins.</w:t>
      </w:r>
    </w:p>
    <w:p>
      <w:pPr>
        <w:spacing w:after="60" w:before="60"/>
      </w:pPr>
      <w:r>
        <w:t xml:space="preserve"/>
      </w:r>
    </w:p>
    <w:p>
      <w:pPr>
        <w:pStyle w:val="Heading1"/>
        <w:pBdr>
          <w:bottom w:val="single" w:color="2E75B6" w:sz="8" w:space="4"/>
        </w:pBdr>
        <w:spacing w:after="160" w:before="360"/>
      </w:pPr>
      <w:r>
        <w:rPr>
          <w:rFonts w:ascii="Arial" w:cs="Arial" w:eastAsia="Arial" w:hAnsi="Arial"/>
          <w:b/>
          <w:bCs/>
          <w:color w:val="1F3864"/>
          <w:sz w:val="32"/>
          <w:szCs w:val="32"/>
        </w:rPr>
        <w:t xml:space="preserve">4. Visualizations and Analysis</w:t>
      </w:r>
    </w:p>
    <w:p>
      <w:pPr>
        <w:spacing w:after="120" w:before="80" w:line="320"/>
      </w:pPr>
      <w:r>
        <w:rPr>
          <w:rFonts w:ascii="Arial" w:cs="Arial" w:eastAsia="Arial" w:hAnsi="Arial"/>
          <w:color w:val="404040"/>
          <w:sz w:val="22"/>
          <w:szCs w:val="22"/>
        </w:rPr>
        <w:t xml:space="preserve">The project produces five distinct visualizations, each focusing on a different dimension of market behaviour. The first four use Matplotlib for static charts; the fifth uses Plotly for interactivity.</w:t>
      </w:r>
    </w:p>
    <w:p>
      <w:pPr>
        <w:spacing w:after="60" w:before="60"/>
      </w:pPr>
      <w:r>
        <w:t xml:space="preserve"/>
      </w:r>
    </w:p>
    <w:p>
      <w:pPr>
        <w:shd w:fill="D6E4F7" w:val="clear"/>
        <w:spacing w:after="200" w:before="120"/>
        <w:ind w:left="200" w:right="200"/>
      </w:pPr>
      <w:r>
        <w:rPr>
          <w:rFonts w:ascii="Arial" w:cs="Arial" w:eastAsia="Arial" w:hAnsi="Arial"/>
          <w:b/>
          <w:bCs/>
          <w:color w:val="1F3864"/>
          <w:sz w:val="28"/>
          <w:szCs w:val="28"/>
        </w:rPr>
        <w:t xml:space="preserve">  Visualization 1 — Stock Closing Price Trend with SMA</w:t>
      </w:r>
    </w:p>
    <w:p>
      <w:pPr>
        <w:spacing w:after="60" w:before="60"/>
      </w:pPr>
      <w:r>
        <w:t xml:space="preserve"/>
      </w:r>
    </w:p>
    <w:p>
      <w:pPr>
        <w:pStyle w:val="Heading3"/>
        <w:spacing w:after="80" w:before="200"/>
      </w:pPr>
      <w:r>
        <w:rPr>
          <w:rFonts w:ascii="Arial" w:cs="Arial" w:eastAsia="Arial" w:hAnsi="Arial"/>
          <w:b/>
          <w:bCs/>
          <w:color w:val="595959"/>
          <w:sz w:val="22"/>
          <w:szCs w:val="22"/>
        </w:rPr>
        <w:t xml:space="preserve">Purpose</w:t>
      </w:r>
    </w:p>
    <w:p>
      <w:pPr>
        <w:spacing w:after="120" w:before="80" w:line="320"/>
      </w:pPr>
      <w:r>
        <w:rPr>
          <w:rFonts w:ascii="Arial" w:cs="Arial" w:eastAsia="Arial" w:hAnsi="Arial"/>
          <w:color w:val="404040"/>
          <w:sz w:val="22"/>
          <w:szCs w:val="22"/>
        </w:rPr>
        <w:t xml:space="preserve">This chart plots the daily closing price alongside the 10-day Simple Moving Average on a shared axis. The goal is to reveal the overall directional trend of the asset and to separate meaningful medium-term movement from the short-term noise that characterises raw price data.</w:t>
      </w:r>
    </w:p>
    <w:p>
      <w:pPr>
        <w:spacing w:after="60" w:before="60"/>
      </w:pPr>
      <w:r>
        <w:t xml:space="preserve"/>
      </w:r>
    </w:p>
    <w:p>
      <w:pPr>
        <w:pStyle w:val="Heading3"/>
        <w:spacing w:after="80" w:before="200"/>
      </w:pPr>
      <w:r>
        <w:rPr>
          <w:rFonts w:ascii="Arial" w:cs="Arial" w:eastAsia="Arial" w:hAnsi="Arial"/>
          <w:b/>
          <w:bCs/>
          <w:color w:val="595959"/>
          <w:sz w:val="22"/>
          <w:szCs w:val="22"/>
        </w:rPr>
        <w:t xml:space="preserve">How the SMA Works</w:t>
      </w:r>
    </w:p>
    <w:p>
      <w:pPr>
        <w:spacing w:after="120" w:before="80" w:line="320"/>
      </w:pPr>
      <w:r>
        <w:rPr>
          <w:rFonts w:ascii="Arial" w:cs="Arial" w:eastAsia="Arial" w:hAnsi="Arial"/>
          <w:color w:val="404040"/>
          <w:sz w:val="22"/>
          <w:szCs w:val="22"/>
        </w:rPr>
        <w:t xml:space="preserve">The Simple Moving Average is calculated by summing the closing prices over the last 10 trading days and dividing by 10. This produces a smoothed line that moves with the price but lags slightly behind it. Because all 10 observations are weighted equally, the SMA responds gradually to sudden price swings rather than immediately reacting to them. The result is a line that cuts through the noise and makes the underlying trend easier to read.</w:t>
      </w:r>
    </w:p>
    <w:p>
      <w:pPr>
        <w:spacing w:after="60" w:before="60"/>
      </w:pPr>
      <w:r>
        <w:t xml:space="preserve"/>
      </w:r>
    </w:p>
    <w:p>
      <w:pPr>
        <w:pStyle w:val="Heading3"/>
        <w:spacing w:after="80" w:before="200"/>
      </w:pPr>
      <w:r>
        <w:rPr>
          <w:rFonts w:ascii="Arial" w:cs="Arial" w:eastAsia="Arial" w:hAnsi="Arial"/>
          <w:b/>
          <w:bCs/>
          <w:color w:val="595959"/>
          <w:sz w:val="22"/>
          <w:szCs w:val="22"/>
        </w:rPr>
        <w:t xml:space="preserve">Chart Construction</w:t>
      </w:r>
    </w:p>
    <w:p>
      <w:pPr>
        <w:spacing w:after="120" w:before="80" w:line="320"/>
      </w:pPr>
      <w:r>
        <w:rPr>
          <w:rFonts w:ascii="Arial" w:cs="Arial" w:eastAsia="Arial" w:hAnsi="Arial"/>
          <w:color w:val="404040"/>
          <w:sz w:val="22"/>
          <w:szCs w:val="22"/>
        </w:rPr>
        <w:t xml:space="preserve">The chart is 12 by 6 inches, which provides enough horizontal space to display months of data without crowding. The closing price is plotted as a moderately volatile line, while the SMA appears as a smoother curve that follows it at a slight delay. A title, labelled axes, and a legend are included to make the chart self-explanatory.</w:t>
      </w:r>
    </w:p>
    <w:p>
      <w:pPr>
        <w:spacing w:after="60" w:before="60"/>
      </w:pPr>
      <w:r>
        <w:t xml:space="preserve"/>
      </w:r>
    </w:p>
    <w:p>
      <w:pPr>
        <w:pStyle w:val="Heading3"/>
        <w:spacing w:after="80" w:before="200"/>
      </w:pPr>
      <w:r>
        <w:rPr>
          <w:rFonts w:ascii="Arial" w:cs="Arial" w:eastAsia="Arial" w:hAnsi="Arial"/>
          <w:b/>
          <w:bCs/>
          <w:color w:val="595959"/>
          <w:sz w:val="22"/>
          <w:szCs w:val="22"/>
        </w:rPr>
        <w:t xml:space="preserve">Insights Derived</w:t>
      </w:r>
    </w:p>
    <w:p>
      <w:pPr>
        <w:pStyle w:val="ListParagraph"/>
        <w:numPr>
          <w:ilvl w:val="0"/>
          <w:numId w:val="2"/>
        </w:numPr>
        <w:spacing w:after="60" w:before="60"/>
      </w:pPr>
      <w:r>
        <w:rPr>
          <w:rFonts w:ascii="Arial" w:cs="Arial" w:eastAsia="Arial" w:hAnsi="Arial"/>
          <w:color w:val="404040"/>
          <w:sz w:val="22"/>
          <w:szCs w:val="22"/>
        </w:rPr>
        <w:t xml:space="preserve">An overall upward trend in the closing price can be identified from the chart's slope.</w:t>
      </w:r>
    </w:p>
    <w:p>
      <w:pPr>
        <w:pStyle w:val="ListParagraph"/>
        <w:numPr>
          <w:ilvl w:val="0"/>
          <w:numId w:val="2"/>
        </w:numPr>
        <w:spacing w:after="60" w:before="60"/>
      </w:pPr>
      <w:r>
        <w:rPr>
          <w:rFonts w:ascii="Arial" w:cs="Arial" w:eastAsia="Arial" w:hAnsi="Arial"/>
          <w:color w:val="404040"/>
          <w:sz w:val="22"/>
          <w:szCs w:val="22"/>
        </w:rPr>
        <w:t xml:space="preserve">The SMA line confirms the trend by consistently sitting above or below the price during sustained movements.</w:t>
      </w:r>
    </w:p>
    <w:p>
      <w:pPr>
        <w:pStyle w:val="ListParagraph"/>
        <w:numPr>
          <w:ilvl w:val="0"/>
          <w:numId w:val="2"/>
        </w:numPr>
        <w:spacing w:after="60" w:before="60"/>
      </w:pPr>
      <w:r>
        <w:rPr>
          <w:rFonts w:ascii="Arial" w:cs="Arial" w:eastAsia="Arial" w:hAnsi="Arial"/>
          <w:color w:val="404040"/>
          <w:sz w:val="22"/>
          <w:szCs w:val="22"/>
        </w:rPr>
        <w:t xml:space="preserve">Crossovers between the price and the SMA — where the price crosses the average from below or above — are widely used as potential buy or sell signals.</w:t>
      </w:r>
    </w:p>
    <w:p>
      <w:pPr>
        <w:pStyle w:val="ListParagraph"/>
        <w:numPr>
          <w:ilvl w:val="0"/>
          <w:numId w:val="2"/>
        </w:numPr>
        <w:spacing w:after="60" w:before="60"/>
      </w:pPr>
      <w:r>
        <w:rPr>
          <w:rFonts w:ascii="Arial" w:cs="Arial" w:eastAsia="Arial" w:hAnsi="Arial"/>
          <w:color w:val="404040"/>
          <w:sz w:val="22"/>
          <w:szCs w:val="22"/>
        </w:rPr>
        <w:t xml:space="preserve">Periods where the price diverges significantly from the SMA indicate heightened momentum in one direction.</w:t>
      </w:r>
    </w:p>
    <w:p>
      <w:pPr>
        <w:spacing w:after="60" w:before="60"/>
      </w:pPr>
      <w:r>
        <w:t xml:space="preserve"/>
      </w:r>
    </w:p>
    <w:p>
      <w:pPr>
        <w:shd w:fill="D6E4F7" w:val="clear"/>
        <w:spacing w:after="200" w:before="120"/>
        <w:ind w:left="200" w:right="200"/>
      </w:pPr>
      <w:r>
        <w:rPr>
          <w:rFonts w:ascii="Arial" w:cs="Arial" w:eastAsia="Arial" w:hAnsi="Arial"/>
          <w:b/>
          <w:bCs/>
          <w:color w:val="1F3864"/>
          <w:sz w:val="28"/>
          <w:szCs w:val="28"/>
        </w:rPr>
        <w:t xml:space="preserve">  Visualization 2 — Trading Volume Analysis</w:t>
      </w:r>
    </w:p>
    <w:p>
      <w:pPr>
        <w:spacing w:after="60" w:before="60"/>
      </w:pPr>
      <w:r>
        <w:t xml:space="preserve"/>
      </w:r>
    </w:p>
    <w:p>
      <w:pPr>
        <w:pStyle w:val="Heading3"/>
        <w:spacing w:after="80" w:before="200"/>
      </w:pPr>
      <w:r>
        <w:rPr>
          <w:rFonts w:ascii="Arial" w:cs="Arial" w:eastAsia="Arial" w:hAnsi="Arial"/>
          <w:b/>
          <w:bCs/>
          <w:color w:val="595959"/>
          <w:sz w:val="22"/>
          <w:szCs w:val="22"/>
        </w:rPr>
        <w:t xml:space="preserve">Purpose</w:t>
      </w:r>
    </w:p>
    <w:p>
      <w:pPr>
        <w:spacing w:after="120" w:before="80" w:line="320"/>
      </w:pPr>
      <w:r>
        <w:rPr>
          <w:rFonts w:ascii="Arial" w:cs="Arial" w:eastAsia="Arial" w:hAnsi="Arial"/>
          <w:color w:val="404040"/>
          <w:sz w:val="22"/>
          <w:szCs w:val="22"/>
        </w:rPr>
        <w:t xml:space="preserve">This bar chart displays the daily trading volume over the full date range of the dataset. Volume analysis is used to gauge the strength of participation behind price movements — it answers the question of how many market participants were actively buying or selling on any given day.</w:t>
      </w:r>
    </w:p>
    <w:p>
      <w:pPr>
        <w:spacing w:after="60" w:before="60"/>
      </w:pPr>
      <w:r>
        <w:t xml:space="preserve"/>
      </w:r>
    </w:p>
    <w:p>
      <w:pPr>
        <w:pStyle w:val="Heading3"/>
        <w:spacing w:after="80" w:before="200"/>
      </w:pPr>
      <w:r>
        <w:rPr>
          <w:rFonts w:ascii="Arial" w:cs="Arial" w:eastAsia="Arial" w:hAnsi="Arial"/>
          <w:b/>
          <w:bCs/>
          <w:color w:val="595959"/>
          <w:sz w:val="22"/>
          <w:szCs w:val="22"/>
        </w:rPr>
        <w:t xml:space="preserve">Interpretation of Volume</w:t>
      </w:r>
    </w:p>
    <w:p>
      <w:pPr>
        <w:spacing w:after="120" w:before="80" w:line="320"/>
      </w:pPr>
      <w:r>
        <w:rPr>
          <w:rFonts w:ascii="Arial" w:cs="Arial" w:eastAsia="Arial" w:hAnsi="Arial"/>
          <w:color w:val="404040"/>
          <w:sz w:val="22"/>
          <w:szCs w:val="22"/>
        </w:rPr>
        <w:t xml:space="preserve">Volume is one of the oldest and most reliable secondary indicators in financial analysis. A price move accompanied by unusually high volume is considered more significant than the same move on thin volume, because it suggests that a large number of participants agreed on the new price level. Conversely, a rally on declining volume may indicate that the move is losing conviction.</w:t>
      </w:r>
    </w:p>
    <w:p>
      <w:pPr>
        <w:spacing w:after="60" w:before="60"/>
      </w:pPr>
      <w:r>
        <w:t xml:space="preserve"/>
      </w:r>
    </w:p>
    <w:p>
      <w:pPr>
        <w:pStyle w:val="Heading3"/>
        <w:spacing w:after="80" w:before="200"/>
      </w:pPr>
      <w:r>
        <w:rPr>
          <w:rFonts w:ascii="Arial" w:cs="Arial" w:eastAsia="Arial" w:hAnsi="Arial"/>
          <w:b/>
          <w:bCs/>
          <w:color w:val="595959"/>
          <w:sz w:val="22"/>
          <w:szCs w:val="22"/>
        </w:rPr>
        <w:t xml:space="preserve">Chart Construction</w:t>
      </w:r>
    </w:p>
    <w:p>
      <w:pPr>
        <w:spacing w:after="120" w:before="80" w:line="320"/>
      </w:pPr>
      <w:r>
        <w:rPr>
          <w:rFonts w:ascii="Arial" w:cs="Arial" w:eastAsia="Arial" w:hAnsi="Arial"/>
          <w:color w:val="404040"/>
          <w:sz w:val="22"/>
          <w:szCs w:val="22"/>
        </w:rPr>
        <w:t xml:space="preserve">Each day is represented by a vertical bar whose height corresponds to the number of units traded. The chart uses the same 12 by 6 inch figure size as the other static charts for visual consistency. The date axis is shared across all visualizations so that volume spikes can be mentally cross-referenced with price movements in the other charts.</w:t>
      </w:r>
    </w:p>
    <w:p>
      <w:pPr>
        <w:spacing w:after="60" w:before="60"/>
      </w:pPr>
      <w:r>
        <w:t xml:space="preserve"/>
      </w:r>
    </w:p>
    <w:p>
      <w:pPr>
        <w:pStyle w:val="Heading3"/>
        <w:spacing w:after="80" w:before="200"/>
      </w:pPr>
      <w:r>
        <w:rPr>
          <w:rFonts w:ascii="Arial" w:cs="Arial" w:eastAsia="Arial" w:hAnsi="Arial"/>
          <w:b/>
          <w:bCs/>
          <w:color w:val="595959"/>
          <w:sz w:val="22"/>
          <w:szCs w:val="22"/>
        </w:rPr>
        <w:t xml:space="preserve">Insights Derived</w:t>
      </w:r>
    </w:p>
    <w:p>
      <w:pPr>
        <w:pStyle w:val="ListParagraph"/>
        <w:numPr>
          <w:ilvl w:val="0"/>
          <w:numId w:val="2"/>
        </w:numPr>
        <w:spacing w:after="60" w:before="60"/>
      </w:pPr>
      <w:r>
        <w:rPr>
          <w:rFonts w:ascii="Arial" w:cs="Arial" w:eastAsia="Arial" w:hAnsi="Arial"/>
          <w:color w:val="404040"/>
          <w:sz w:val="22"/>
          <w:szCs w:val="22"/>
        </w:rPr>
        <w:t xml:space="preserve">Baseline volume levels establish what constitutes a normal day of trading activity for this asset.</w:t>
      </w:r>
    </w:p>
    <w:p>
      <w:pPr>
        <w:pStyle w:val="ListParagraph"/>
        <w:numPr>
          <w:ilvl w:val="0"/>
          <w:numId w:val="2"/>
        </w:numPr>
        <w:spacing w:after="60" w:before="60"/>
      </w:pPr>
      <w:r>
        <w:rPr>
          <w:rFonts w:ascii="Arial" w:cs="Arial" w:eastAsia="Arial" w:hAnsi="Arial"/>
          <w:color w:val="404040"/>
          <w:sz w:val="22"/>
          <w:szCs w:val="22"/>
        </w:rPr>
        <w:t xml:space="preserve">Sudden spikes in volume — bars that are noticeably taller than their neighbours — often coincide with major events such as earnings announcements, economic data releases, or sudden news.</w:t>
      </w:r>
    </w:p>
    <w:p>
      <w:pPr>
        <w:pStyle w:val="ListParagraph"/>
        <w:numPr>
          <w:ilvl w:val="0"/>
          <w:numId w:val="2"/>
        </w:numPr>
        <w:spacing w:after="60" w:before="60"/>
      </w:pPr>
      <w:r>
        <w:rPr>
          <w:rFonts w:ascii="Arial" w:cs="Arial" w:eastAsia="Arial" w:hAnsi="Arial"/>
          <w:color w:val="404040"/>
          <w:sz w:val="22"/>
          <w:szCs w:val="22"/>
        </w:rPr>
        <w:t xml:space="preserve">Persistent volume trends (consistently growing or shrinking bars over time) can reflect changes in market interest or liquidity.</w:t>
      </w:r>
    </w:p>
    <w:p>
      <w:pPr>
        <w:spacing w:after="60" w:before="60"/>
      </w:pPr>
      <w:r>
        <w:t xml:space="preserve"/>
      </w:r>
    </w:p>
    <w:p>
      <w:pPr>
        <w:shd w:fill="D6E4F7" w:val="clear"/>
        <w:spacing w:after="200" w:before="120"/>
        <w:ind w:left="200" w:right="200"/>
      </w:pPr>
      <w:r>
        <w:rPr>
          <w:rFonts w:ascii="Arial" w:cs="Arial" w:eastAsia="Arial" w:hAnsi="Arial"/>
          <w:b/>
          <w:bCs/>
          <w:color w:val="1F3864"/>
          <w:sz w:val="28"/>
          <w:szCs w:val="28"/>
        </w:rPr>
        <w:t xml:space="preserve">  Visualization 3 — EMA Technical Indicator</w:t>
      </w:r>
    </w:p>
    <w:p>
      <w:pPr>
        <w:spacing w:after="60" w:before="60"/>
      </w:pPr>
      <w:r>
        <w:t xml:space="preserve"/>
      </w:r>
    </w:p>
    <w:p>
      <w:pPr>
        <w:pStyle w:val="Heading3"/>
        <w:spacing w:after="80" w:before="200"/>
      </w:pPr>
      <w:r>
        <w:rPr>
          <w:rFonts w:ascii="Arial" w:cs="Arial" w:eastAsia="Arial" w:hAnsi="Arial"/>
          <w:b/>
          <w:bCs/>
          <w:color w:val="595959"/>
          <w:sz w:val="22"/>
          <w:szCs w:val="22"/>
        </w:rPr>
        <w:t xml:space="preserve">Purpose</w:t>
      </w:r>
    </w:p>
    <w:p>
      <w:pPr>
        <w:spacing w:after="120" w:before="80" w:line="320"/>
      </w:pPr>
      <w:r>
        <w:rPr>
          <w:rFonts w:ascii="Arial" w:cs="Arial" w:eastAsia="Arial" w:hAnsi="Arial"/>
          <w:color w:val="404040"/>
          <w:sz w:val="22"/>
          <w:szCs w:val="22"/>
        </w:rPr>
        <w:t xml:space="preserve">This chart mirrors the structure of the closing price and SMA chart but replaces the SMA with the Exponential Moving Average. The purpose is to demonstrate how the two averages differ in their responsiveness to recent price changes, and to show traders why one may be preferred over the other in certain market conditions.</w:t>
      </w:r>
    </w:p>
    <w:p>
      <w:pPr>
        <w:spacing w:after="60" w:before="60"/>
      </w:pPr>
      <w:r>
        <w:t xml:space="preserve"/>
      </w:r>
    </w:p>
    <w:p>
      <w:pPr>
        <w:pStyle w:val="Heading3"/>
        <w:spacing w:after="80" w:before="200"/>
      </w:pPr>
      <w:r>
        <w:rPr>
          <w:rFonts w:ascii="Arial" w:cs="Arial" w:eastAsia="Arial" w:hAnsi="Arial"/>
          <w:b/>
          <w:bCs/>
          <w:color w:val="595959"/>
          <w:sz w:val="22"/>
          <w:szCs w:val="22"/>
        </w:rPr>
        <w:t xml:space="preserve">How the EMA Differs from the SMA</w:t>
      </w:r>
    </w:p>
    <w:p>
      <w:pPr>
        <w:spacing w:after="120" w:before="80" w:line="320"/>
      </w:pPr>
      <w:r>
        <w:rPr>
          <w:rFonts w:ascii="Arial" w:cs="Arial" w:eastAsia="Arial" w:hAnsi="Arial"/>
          <w:color w:val="404040"/>
          <w:sz w:val="22"/>
          <w:szCs w:val="22"/>
        </w:rPr>
        <w:t xml:space="preserve">The EMA uses a weighting multiplier to assign greater importance to the most recent closing prices. The multiplier is derived from the chosen period length — for a 10-day EMA, the most recent day's price carries the highest weight, and each earlier day's contribution decays exponentially. The practical effect is that the EMA line tracks the actual price more closely and reacts more quickly when the price direction changes, whereas the SMA has a more uniform, lag-heavy response.</w:t>
      </w:r>
    </w:p>
    <w:p>
      <w:pPr>
        <w:spacing w:after="60" w:before="60"/>
      </w:pPr>
      <w:r>
        <w:t xml:space="preserve"/>
      </w:r>
    </w:p>
    <w:p>
      <w:pPr>
        <w:pStyle w:val="Heading3"/>
        <w:spacing w:after="80" w:before="200"/>
      </w:pPr>
      <w:r>
        <w:rPr>
          <w:rFonts w:ascii="Arial" w:cs="Arial" w:eastAsia="Arial" w:hAnsi="Arial"/>
          <w:b/>
          <w:bCs/>
          <w:color w:val="595959"/>
          <w:sz w:val="22"/>
          <w:szCs w:val="22"/>
        </w:rPr>
        <w:t xml:space="preserve">Chart Construction</w:t>
      </w:r>
    </w:p>
    <w:p>
      <w:pPr>
        <w:spacing w:after="120" w:before="80" w:line="320"/>
      </w:pPr>
      <w:r>
        <w:rPr>
          <w:rFonts w:ascii="Arial" w:cs="Arial" w:eastAsia="Arial" w:hAnsi="Arial"/>
          <w:color w:val="404040"/>
          <w:sz w:val="22"/>
          <w:szCs w:val="22"/>
        </w:rPr>
        <w:t xml:space="preserve">The closing price and the EMA are plotted on the same axis over the full date range of the dataset. The chart dimensions and labelling conventions are consistent with the other Matplotlib visualizations. The legend clearly distinguishes between the two lines.</w:t>
      </w:r>
    </w:p>
    <w:p>
      <w:pPr>
        <w:spacing w:after="60" w:before="60"/>
      </w:pPr>
      <w:r>
        <w:t xml:space="preserve"/>
      </w:r>
    </w:p>
    <w:p>
      <w:pPr>
        <w:pStyle w:val="Heading3"/>
        <w:spacing w:after="80" w:before="200"/>
      </w:pPr>
      <w:r>
        <w:rPr>
          <w:rFonts w:ascii="Arial" w:cs="Arial" w:eastAsia="Arial" w:hAnsi="Arial"/>
          <w:b/>
          <w:bCs/>
          <w:color w:val="595959"/>
          <w:sz w:val="22"/>
          <w:szCs w:val="22"/>
        </w:rPr>
        <w:t xml:space="preserve">Insights Derived</w:t>
      </w:r>
    </w:p>
    <w:p>
      <w:pPr>
        <w:pStyle w:val="ListParagraph"/>
        <w:numPr>
          <w:ilvl w:val="0"/>
          <w:numId w:val="2"/>
        </w:numPr>
        <w:spacing w:after="60" w:before="60"/>
      </w:pPr>
      <w:r>
        <w:rPr>
          <w:rFonts w:ascii="Arial" w:cs="Arial" w:eastAsia="Arial" w:hAnsi="Arial"/>
          <w:color w:val="404040"/>
          <w:sz w:val="22"/>
          <w:szCs w:val="22"/>
        </w:rPr>
        <w:t xml:space="preserve">During trending markets, the EMA line follows the closing price more tightly than the SMA, giving earlier signals of trend changes.</w:t>
      </w:r>
    </w:p>
    <w:p>
      <w:pPr>
        <w:pStyle w:val="ListParagraph"/>
        <w:numPr>
          <w:ilvl w:val="0"/>
          <w:numId w:val="2"/>
        </w:numPr>
        <w:spacing w:after="60" w:before="60"/>
      </w:pPr>
      <w:r>
        <w:rPr>
          <w:rFonts w:ascii="Arial" w:cs="Arial" w:eastAsia="Arial" w:hAnsi="Arial"/>
          <w:color w:val="404040"/>
          <w:sz w:val="22"/>
          <w:szCs w:val="22"/>
        </w:rPr>
        <w:t xml:space="preserve">In choppy or sideways markets, the EMA's higher sensitivity can generate more false signals, whereas the SMA's smoother line may be more reliable.</w:t>
      </w:r>
    </w:p>
    <w:p>
      <w:pPr>
        <w:pStyle w:val="ListParagraph"/>
        <w:numPr>
          <w:ilvl w:val="0"/>
          <w:numId w:val="2"/>
        </w:numPr>
        <w:spacing w:after="60" w:before="60"/>
      </w:pPr>
      <w:r>
        <w:rPr>
          <w:rFonts w:ascii="Arial" w:cs="Arial" w:eastAsia="Arial" w:hAnsi="Arial"/>
          <w:color w:val="404040"/>
          <w:sz w:val="22"/>
          <w:szCs w:val="22"/>
        </w:rPr>
        <w:t xml:space="preserve">Traders often use the EMA for short-term entry and exit decisions and the SMA for longer-term trend confirmation.</w:t>
      </w:r>
    </w:p>
    <w:p>
      <w:pPr>
        <w:pStyle w:val="ListParagraph"/>
        <w:numPr>
          <w:ilvl w:val="0"/>
          <w:numId w:val="2"/>
        </w:numPr>
        <w:spacing w:after="60" w:before="60"/>
      </w:pPr>
      <w:r>
        <w:rPr>
          <w:rFonts w:ascii="Arial" w:cs="Arial" w:eastAsia="Arial" w:hAnsi="Arial"/>
          <w:color w:val="404040"/>
          <w:sz w:val="22"/>
          <w:szCs w:val="22"/>
        </w:rPr>
        <w:t xml:space="preserve">The relative distance between the EMA and the closing price indicates the strength of recent momentum.</w:t>
      </w:r>
    </w:p>
    <w:p>
      <w:pPr>
        <w:spacing w:after="60" w:before="60"/>
      </w:pPr>
      <w:r>
        <w:t xml:space="preserve"/>
      </w:r>
    </w:p>
    <w:p>
      <w:pPr>
        <w:shd w:fill="D6E4F7" w:val="clear"/>
        <w:spacing w:after="200" w:before="120"/>
        <w:ind w:left="200" w:right="200"/>
      </w:pPr>
      <w:r>
        <w:rPr>
          <w:rFonts w:ascii="Arial" w:cs="Arial" w:eastAsia="Arial" w:hAnsi="Arial"/>
          <w:b/>
          <w:bCs/>
          <w:color w:val="1F3864"/>
          <w:sz w:val="28"/>
          <w:szCs w:val="28"/>
        </w:rPr>
        <w:t xml:space="preserve">  Visualization 4 — Market Volatility Analysis</w:t>
      </w:r>
    </w:p>
    <w:p>
      <w:pPr>
        <w:spacing w:after="60" w:before="60"/>
      </w:pPr>
      <w:r>
        <w:t xml:space="preserve"/>
      </w:r>
    </w:p>
    <w:p>
      <w:pPr>
        <w:pStyle w:val="Heading3"/>
        <w:spacing w:after="80" w:before="200"/>
      </w:pPr>
      <w:r>
        <w:rPr>
          <w:rFonts w:ascii="Arial" w:cs="Arial" w:eastAsia="Arial" w:hAnsi="Arial"/>
          <w:b/>
          <w:bCs/>
          <w:color w:val="595959"/>
          <w:sz w:val="22"/>
          <w:szCs w:val="22"/>
        </w:rPr>
        <w:t xml:space="preserve">Purpose</w:t>
      </w:r>
    </w:p>
    <w:p>
      <w:pPr>
        <w:spacing w:after="120" w:before="80" w:line="320"/>
      </w:pPr>
      <w:r>
        <w:rPr>
          <w:rFonts w:ascii="Arial" w:cs="Arial" w:eastAsia="Arial" w:hAnsi="Arial"/>
          <w:color w:val="404040"/>
          <w:sz w:val="22"/>
          <w:szCs w:val="22"/>
        </w:rPr>
        <w:t xml:space="preserve">This line chart plots the volatility measure over the full date range. Volatility analysis transforms raw price data into a risk metric — it tells analysts how erratic or stable the asset's price has been over a rolling window of time.</w:t>
      </w:r>
    </w:p>
    <w:p>
      <w:pPr>
        <w:spacing w:after="60" w:before="60"/>
      </w:pPr>
      <w:r>
        <w:t xml:space="preserve"/>
      </w:r>
    </w:p>
    <w:p>
      <w:pPr>
        <w:pStyle w:val="Heading3"/>
        <w:spacing w:after="80" w:before="200"/>
      </w:pPr>
      <w:r>
        <w:rPr>
          <w:rFonts w:ascii="Arial" w:cs="Arial" w:eastAsia="Arial" w:hAnsi="Arial"/>
          <w:b/>
          <w:bCs/>
          <w:color w:val="595959"/>
          <w:sz w:val="22"/>
          <w:szCs w:val="22"/>
        </w:rPr>
        <w:t xml:space="preserve">How Volatility Is Calculated</w:t>
      </w:r>
    </w:p>
    <w:p>
      <w:pPr>
        <w:spacing w:after="120" w:before="80" w:line="320"/>
      </w:pPr>
      <w:r>
        <w:rPr>
          <w:rFonts w:ascii="Arial" w:cs="Arial" w:eastAsia="Arial" w:hAnsi="Arial"/>
          <w:color w:val="404040"/>
          <w:sz w:val="22"/>
          <w:szCs w:val="22"/>
        </w:rPr>
        <w:t xml:space="preserve">Volatility in this dataset is defined as the rolling standard deviation of daily returns. The daily return for each session is the percentage change in the closing price from the previous day. The standard deviation of these returns over a fixed window (for example, 10 trading days) measures how widely the daily returns have dispersed around their average. A large standard deviation indicates large, unpredictable daily swings; a small standard deviation suggests a calm, stable market environment.</w:t>
      </w:r>
    </w:p>
    <w:p>
      <w:pPr>
        <w:spacing w:after="60" w:before="60"/>
      </w:pPr>
      <w:r>
        <w:t xml:space="preserve"/>
      </w:r>
    </w:p>
    <w:p>
      <w:pPr>
        <w:pStyle w:val="Heading3"/>
        <w:spacing w:after="80" w:before="200"/>
      </w:pPr>
      <w:r>
        <w:rPr>
          <w:rFonts w:ascii="Arial" w:cs="Arial" w:eastAsia="Arial" w:hAnsi="Arial"/>
          <w:b/>
          <w:bCs/>
          <w:color w:val="595959"/>
          <w:sz w:val="22"/>
          <w:szCs w:val="22"/>
        </w:rPr>
        <w:t xml:space="preserve">Chart Construction</w:t>
      </w:r>
    </w:p>
    <w:p>
      <w:pPr>
        <w:spacing w:after="120" w:before="80" w:line="320"/>
      </w:pPr>
      <w:r>
        <w:rPr>
          <w:rFonts w:ascii="Arial" w:cs="Arial" w:eastAsia="Arial" w:hAnsi="Arial"/>
          <w:color w:val="404040"/>
          <w:sz w:val="22"/>
          <w:szCs w:val="22"/>
        </w:rPr>
        <w:t xml:space="preserve">A single line traces the volatility value across all trading days in the dataset. Peaks and troughs in this line are the primary objects of interpretation. The chart is built with the same 12 by 6 inch figure size and includes appropriate axis labels and a title.</w:t>
      </w:r>
    </w:p>
    <w:p>
      <w:pPr>
        <w:spacing w:after="60" w:before="60"/>
      </w:pPr>
      <w:r>
        <w:t xml:space="preserve"/>
      </w:r>
    </w:p>
    <w:p>
      <w:pPr>
        <w:pStyle w:val="Heading3"/>
        <w:spacing w:after="80" w:before="200"/>
      </w:pPr>
      <w:r>
        <w:rPr>
          <w:rFonts w:ascii="Arial" w:cs="Arial" w:eastAsia="Arial" w:hAnsi="Arial"/>
          <w:b/>
          <w:bCs/>
          <w:color w:val="595959"/>
          <w:sz w:val="22"/>
          <w:szCs w:val="22"/>
        </w:rPr>
        <w:t xml:space="preserve">Insights Derived</w:t>
      </w:r>
    </w:p>
    <w:p>
      <w:pPr>
        <w:pStyle w:val="ListParagraph"/>
        <w:numPr>
          <w:ilvl w:val="0"/>
          <w:numId w:val="2"/>
        </w:numPr>
        <w:spacing w:after="60" w:before="60"/>
      </w:pPr>
      <w:r>
        <w:rPr>
          <w:rFonts w:ascii="Arial" w:cs="Arial" w:eastAsia="Arial" w:hAnsi="Arial"/>
          <w:color w:val="404040"/>
          <w:sz w:val="22"/>
          <w:szCs w:val="22"/>
        </w:rPr>
        <w:t xml:space="preserve">Periods where the volatility line rises sharply correspond to phases of market stress — prices were moving dramatically from day to day.</w:t>
      </w:r>
    </w:p>
    <w:p>
      <w:pPr>
        <w:pStyle w:val="ListParagraph"/>
        <w:numPr>
          <w:ilvl w:val="0"/>
          <w:numId w:val="2"/>
        </w:numPr>
        <w:spacing w:after="60" w:before="60"/>
      </w:pPr>
      <w:r>
        <w:rPr>
          <w:rFonts w:ascii="Arial" w:cs="Arial" w:eastAsia="Arial" w:hAnsi="Arial"/>
          <w:color w:val="404040"/>
          <w:sz w:val="22"/>
          <w:szCs w:val="22"/>
        </w:rPr>
        <w:t xml:space="preserve">Extended low-volatility periods often precede significant price moves, as calm markets tend to build up pressure before a breakout.</w:t>
      </w:r>
    </w:p>
    <w:p>
      <w:pPr>
        <w:pStyle w:val="ListParagraph"/>
        <w:numPr>
          <w:ilvl w:val="0"/>
          <w:numId w:val="2"/>
        </w:numPr>
        <w:spacing w:after="60" w:before="60"/>
      </w:pPr>
      <w:r>
        <w:rPr>
          <w:rFonts w:ascii="Arial" w:cs="Arial" w:eastAsia="Arial" w:hAnsi="Arial"/>
          <w:color w:val="404040"/>
          <w:sz w:val="22"/>
          <w:szCs w:val="22"/>
        </w:rPr>
        <w:t xml:space="preserve">Risk-averse investors use volatility charts to time their entry points, preferring to buy or sell during calmer periods.</w:t>
      </w:r>
    </w:p>
    <w:p>
      <w:pPr>
        <w:pStyle w:val="ListParagraph"/>
        <w:numPr>
          <w:ilvl w:val="0"/>
          <w:numId w:val="2"/>
        </w:numPr>
        <w:spacing w:after="60" w:before="60"/>
      </w:pPr>
      <w:r>
        <w:rPr>
          <w:rFonts w:ascii="Arial" w:cs="Arial" w:eastAsia="Arial" w:hAnsi="Arial"/>
          <w:color w:val="404040"/>
          <w:sz w:val="22"/>
          <w:szCs w:val="22"/>
        </w:rPr>
        <w:t xml:space="preserve">High volatility is also used to adjust position sizes — traders reduce exposure when volatility is elevated to limit potential losses.</w:t>
      </w:r>
    </w:p>
    <w:p>
      <w:pPr>
        <w:spacing w:after="60" w:before="60"/>
      </w:pPr>
      <w:r>
        <w:t xml:space="preserve"/>
      </w:r>
    </w:p>
    <w:p>
      <w:pPr>
        <w:shd w:fill="D6E4F7" w:val="clear"/>
        <w:spacing w:after="200" w:before="120"/>
        <w:ind w:left="200" w:right="200"/>
      </w:pPr>
      <w:r>
        <w:rPr>
          <w:rFonts w:ascii="Arial" w:cs="Arial" w:eastAsia="Arial" w:hAnsi="Arial"/>
          <w:b/>
          <w:bCs/>
          <w:color w:val="1F3864"/>
          <w:sz w:val="28"/>
          <w:szCs w:val="28"/>
        </w:rPr>
        <w:t xml:space="preserve">  Visualization 5 — Interactive Candlestick Chart</w:t>
      </w:r>
    </w:p>
    <w:p>
      <w:pPr>
        <w:spacing w:after="60" w:before="60"/>
      </w:pPr>
      <w:r>
        <w:t xml:space="preserve"/>
      </w:r>
    </w:p>
    <w:p>
      <w:pPr>
        <w:pStyle w:val="Heading3"/>
        <w:spacing w:after="80" w:before="200"/>
      </w:pPr>
      <w:r>
        <w:rPr>
          <w:rFonts w:ascii="Arial" w:cs="Arial" w:eastAsia="Arial" w:hAnsi="Arial"/>
          <w:b/>
          <w:bCs/>
          <w:color w:val="595959"/>
          <w:sz w:val="22"/>
          <w:szCs w:val="22"/>
        </w:rPr>
        <w:t xml:space="preserve">Purpose</w:t>
      </w:r>
    </w:p>
    <w:p>
      <w:pPr>
        <w:spacing w:after="120" w:before="80" w:line="320"/>
      </w:pPr>
      <w:r>
        <w:rPr>
          <w:rFonts w:ascii="Arial" w:cs="Arial" w:eastAsia="Arial" w:hAnsi="Arial"/>
          <w:color w:val="404040"/>
          <w:sz w:val="22"/>
          <w:szCs w:val="22"/>
        </w:rPr>
        <w:t xml:space="preserve">The interactive candlestick chart is the most information-dense visualization in the project. Unlike the static Matplotlib charts, it is built with Plotly and rendered in a web browser environment, where the user can zoom into specific date ranges, hover over individual candles to read exact price values, and pan along the time axis without the image losing resolution.</w:t>
      </w:r>
    </w:p>
    <w:p>
      <w:pPr>
        <w:spacing w:after="60" w:before="60"/>
      </w:pPr>
      <w:r>
        <w:t xml:space="preserve"/>
      </w:r>
    </w:p>
    <w:p>
      <w:pPr>
        <w:pStyle w:val="Heading3"/>
        <w:spacing w:after="80" w:before="200"/>
      </w:pPr>
      <w:r>
        <w:rPr>
          <w:rFonts w:ascii="Arial" w:cs="Arial" w:eastAsia="Arial" w:hAnsi="Arial"/>
          <w:b/>
          <w:bCs/>
          <w:color w:val="595959"/>
          <w:sz w:val="22"/>
          <w:szCs w:val="22"/>
        </w:rPr>
        <w:t xml:space="preserve">Anatomy of a Candlestick</w:t>
      </w:r>
    </w:p>
    <w:p>
      <w:pPr>
        <w:spacing w:after="120" w:before="80" w:line="320"/>
      </w:pPr>
      <w:r>
        <w:rPr>
          <w:rFonts w:ascii="Arial" w:cs="Arial" w:eastAsia="Arial" w:hAnsi="Arial"/>
          <w:color w:val="404040"/>
          <w:sz w:val="22"/>
          <w:szCs w:val="22"/>
        </w:rPr>
        <w:t xml:space="preserve">Each candlestick represents a single trading day and encodes four price values in a compact visual form. The thick rectangular body spans from the opening price to the closing price. If the close is higher than the open, the candle is displayed in green (a bullish day, meaning the asset gained in value during the session). If the close is lower than the open, the candle is red (a bearish day, meaning the asset lost value). The thin vertical lines extending above and below the body — called wicks or shadows — represent the highest and lowest prices traded during the day, regardless of where the open and close fell.</w:t>
      </w:r>
    </w:p>
    <w:p>
      <w:pPr>
        <w:spacing w:after="60" w:before="60"/>
      </w:pPr>
      <w:r>
        <w:t xml:space="preserve"/>
      </w:r>
    </w:p>
    <w:p>
      <w:pPr>
        <w:pStyle w:val="Heading3"/>
        <w:spacing w:after="80" w:before="200"/>
      </w:pPr>
      <w:r>
        <w:rPr>
          <w:rFonts w:ascii="Arial" w:cs="Arial" w:eastAsia="Arial" w:hAnsi="Arial"/>
          <w:b/>
          <w:bCs/>
          <w:color w:val="595959"/>
          <w:sz w:val="22"/>
          <w:szCs w:val="22"/>
        </w:rPr>
        <w:t xml:space="preserve">Interactive Features</w:t>
      </w:r>
    </w:p>
    <w:p>
      <w:pPr>
        <w:spacing w:after="120" w:before="80" w:line="320"/>
      </w:pPr>
      <w:r>
        <w:rPr>
          <w:rFonts w:ascii="Arial" w:cs="Arial" w:eastAsia="Arial" w:hAnsi="Arial"/>
          <w:color w:val="404040"/>
          <w:sz w:val="22"/>
          <w:szCs w:val="22"/>
        </w:rPr>
        <w:t xml:space="preserve">Because the chart is powered by Plotly, it supports a rich set of browser-based interactions that static charts cannot offer:</w:t>
      </w:r>
    </w:p>
    <w:p>
      <w:pPr>
        <w:pStyle w:val="ListParagraph"/>
        <w:numPr>
          <w:ilvl w:val="0"/>
          <w:numId w:val="2"/>
        </w:numPr>
        <w:spacing w:after="60" w:before="60"/>
      </w:pPr>
      <w:r>
        <w:rPr>
          <w:rFonts w:ascii="Arial" w:cs="Arial" w:eastAsia="Arial" w:hAnsi="Arial"/>
          <w:color w:val="404040"/>
          <w:sz w:val="22"/>
          <w:szCs w:val="22"/>
        </w:rPr>
        <w:t xml:space="preserve">Zooming into a specific date window by clicking and dragging across the time axis.</w:t>
      </w:r>
    </w:p>
    <w:p>
      <w:pPr>
        <w:pStyle w:val="ListParagraph"/>
        <w:numPr>
          <w:ilvl w:val="0"/>
          <w:numId w:val="2"/>
        </w:numPr>
        <w:spacing w:after="60" w:before="60"/>
      </w:pPr>
      <w:r>
        <w:rPr>
          <w:rFonts w:ascii="Arial" w:cs="Arial" w:eastAsia="Arial" w:hAnsi="Arial"/>
          <w:color w:val="404040"/>
          <w:sz w:val="22"/>
          <w:szCs w:val="22"/>
        </w:rPr>
        <w:t xml:space="preserve">Hovering over any candle to see a tooltip displaying the exact open, high, low, and close values for that day.</w:t>
      </w:r>
    </w:p>
    <w:p>
      <w:pPr>
        <w:pStyle w:val="ListParagraph"/>
        <w:numPr>
          <w:ilvl w:val="0"/>
          <w:numId w:val="2"/>
        </w:numPr>
        <w:spacing w:after="60" w:before="60"/>
      </w:pPr>
      <w:r>
        <w:rPr>
          <w:rFonts w:ascii="Arial" w:cs="Arial" w:eastAsia="Arial" w:hAnsi="Arial"/>
          <w:color w:val="404040"/>
          <w:sz w:val="22"/>
          <w:szCs w:val="22"/>
        </w:rPr>
        <w:t xml:space="preserve">Panning left and right across the full time series to navigate historical data at the zoomed-in scale.</w:t>
      </w:r>
    </w:p>
    <w:p>
      <w:pPr>
        <w:pStyle w:val="ListParagraph"/>
        <w:numPr>
          <w:ilvl w:val="0"/>
          <w:numId w:val="2"/>
        </w:numPr>
        <w:spacing w:after="60" w:before="60"/>
      </w:pPr>
      <w:r>
        <w:rPr>
          <w:rFonts w:ascii="Arial" w:cs="Arial" w:eastAsia="Arial" w:hAnsi="Arial"/>
          <w:color w:val="404040"/>
          <w:sz w:val="22"/>
          <w:szCs w:val="22"/>
        </w:rPr>
        <w:t xml:space="preserve">Resetting the view with a double-click to return to the full date range.</w:t>
      </w:r>
    </w:p>
    <w:p>
      <w:pPr>
        <w:spacing w:after="60" w:before="60"/>
      </w:pPr>
      <w:r>
        <w:t xml:space="preserve"/>
      </w:r>
    </w:p>
    <w:p>
      <w:pPr>
        <w:pStyle w:val="Heading3"/>
        <w:spacing w:after="80" w:before="200"/>
      </w:pPr>
      <w:r>
        <w:rPr>
          <w:rFonts w:ascii="Arial" w:cs="Arial" w:eastAsia="Arial" w:hAnsi="Arial"/>
          <w:b/>
          <w:bCs/>
          <w:color w:val="595959"/>
          <w:sz w:val="22"/>
          <w:szCs w:val="22"/>
        </w:rPr>
        <w:t xml:space="preserve">Insights Derived</w:t>
      </w:r>
    </w:p>
    <w:p>
      <w:pPr>
        <w:pStyle w:val="ListParagraph"/>
        <w:numPr>
          <w:ilvl w:val="0"/>
          <w:numId w:val="2"/>
        </w:numPr>
        <w:spacing w:after="60" w:before="60"/>
      </w:pPr>
      <w:r>
        <w:rPr>
          <w:rFonts w:ascii="Arial" w:cs="Arial" w:eastAsia="Arial" w:hAnsi="Arial"/>
          <w:color w:val="404040"/>
          <w:sz w:val="22"/>
          <w:szCs w:val="22"/>
        </w:rPr>
        <w:t xml:space="preserve">Clusters of consecutive green candles indicate sustained bullish momentum, while consecutive red candles indicate a bearish phase.</w:t>
      </w:r>
    </w:p>
    <w:p>
      <w:pPr>
        <w:pStyle w:val="ListParagraph"/>
        <w:numPr>
          <w:ilvl w:val="0"/>
          <w:numId w:val="2"/>
        </w:numPr>
        <w:spacing w:after="60" w:before="60"/>
      </w:pPr>
      <w:r>
        <w:rPr>
          <w:rFonts w:ascii="Arial" w:cs="Arial" w:eastAsia="Arial" w:hAnsi="Arial"/>
          <w:color w:val="404040"/>
          <w:sz w:val="22"/>
          <w:szCs w:val="22"/>
        </w:rPr>
        <w:t xml:space="preserve">Candles with long wicks but small bodies — called doji candles — signal indecision between buyers and sellers and often precede trend reversals.</w:t>
      </w:r>
    </w:p>
    <w:p>
      <w:pPr>
        <w:pStyle w:val="ListParagraph"/>
        <w:numPr>
          <w:ilvl w:val="0"/>
          <w:numId w:val="2"/>
        </w:numPr>
        <w:spacing w:after="60" w:before="60"/>
      </w:pPr>
      <w:r>
        <w:rPr>
          <w:rFonts w:ascii="Arial" w:cs="Arial" w:eastAsia="Arial" w:hAnsi="Arial"/>
          <w:color w:val="404040"/>
          <w:sz w:val="22"/>
          <w:szCs w:val="22"/>
        </w:rPr>
        <w:t xml:space="preserve">The relative lengths of candle bodies and wicks give a visual impression of how dominant one side of the market was on a given day.</w:t>
      </w:r>
    </w:p>
    <w:p>
      <w:pPr>
        <w:pStyle w:val="ListParagraph"/>
        <w:numPr>
          <w:ilvl w:val="0"/>
          <w:numId w:val="2"/>
        </w:numPr>
        <w:spacing w:after="60" w:before="60"/>
      </w:pPr>
      <w:r>
        <w:rPr>
          <w:rFonts w:ascii="Arial" w:cs="Arial" w:eastAsia="Arial" w:hAnsi="Arial"/>
          <w:color w:val="404040"/>
          <w:sz w:val="22"/>
          <w:szCs w:val="22"/>
        </w:rPr>
        <w:t xml:space="preserve">Zooming into periods of high volatility allows the user to examine how prices behaved on a candle-by-candle basis.</w:t>
      </w:r>
    </w:p>
    <w:p>
      <w:pPr>
        <w:spacing w:after="60" w:before="60"/>
      </w:pPr>
      <w:r>
        <w:t xml:space="preserve"/>
      </w:r>
    </w:p>
    <w:p>
      <w:pPr>
        <w:pStyle w:val="Heading1"/>
        <w:pBdr>
          <w:bottom w:val="single" w:color="2E75B6" w:sz="8" w:space="4"/>
        </w:pBdr>
        <w:spacing w:after="160" w:before="360"/>
      </w:pPr>
      <w:r>
        <w:rPr>
          <w:rFonts w:ascii="Arial" w:cs="Arial" w:eastAsia="Arial" w:hAnsi="Arial"/>
          <w:b/>
          <w:bCs/>
          <w:color w:val="1F3864"/>
          <w:sz w:val="32"/>
          <w:szCs w:val="32"/>
        </w:rPr>
        <w:t xml:space="preserve">5. Key Insights and Recommendations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5.1 Summary of Analytical Findings</w:t>
      </w:r>
    </w:p>
    <w:p>
      <w:pPr>
        <w:pStyle w:val="ListParagraph"/>
        <w:numPr>
          <w:ilvl w:val="0"/>
          <w:numId w:val="3"/>
        </w:numPr>
        <w:spacing w:after="60" w:before="60"/>
      </w:pPr>
      <w:r>
        <w:rPr>
          <w:rFonts w:ascii="Arial" w:cs="Arial" w:eastAsia="Arial" w:hAnsi="Arial"/>
          <w:color w:val="404040"/>
          <w:sz w:val="22"/>
          <w:szCs w:val="22"/>
        </w:rPr>
        <w:t xml:space="preserve">The closing price chart shows a gradual upward trend across the dataset, suggesting sustained bullish sentiment over the analysis period.</w:t>
      </w:r>
    </w:p>
    <w:p>
      <w:pPr>
        <w:pStyle w:val="ListParagraph"/>
        <w:numPr>
          <w:ilvl w:val="0"/>
          <w:numId w:val="3"/>
        </w:numPr>
        <w:spacing w:after="60" w:before="60"/>
      </w:pPr>
      <w:r>
        <w:rPr>
          <w:rFonts w:ascii="Arial" w:cs="Arial" w:eastAsia="Arial" w:hAnsi="Arial"/>
          <w:color w:val="404040"/>
          <w:sz w:val="22"/>
          <w:szCs w:val="22"/>
        </w:rPr>
        <w:t xml:space="preserve">The EMA line tracked price movements more closely and reacted to reversals sooner than the SMA, confirming that recent-weighted averages are more responsive to changing conditions.</w:t>
      </w:r>
    </w:p>
    <w:p>
      <w:pPr>
        <w:pStyle w:val="ListParagraph"/>
        <w:numPr>
          <w:ilvl w:val="0"/>
          <w:numId w:val="3"/>
        </w:numPr>
        <w:spacing w:after="60" w:before="60"/>
      </w:pPr>
      <w:r>
        <w:rPr>
          <w:rFonts w:ascii="Arial" w:cs="Arial" w:eastAsia="Arial" w:hAnsi="Arial"/>
          <w:color w:val="404040"/>
          <w:sz w:val="22"/>
          <w:szCs w:val="22"/>
        </w:rPr>
        <w:t xml:space="preserve">Volume spikes observed in the bar chart frequently appeared in close proximity to significant price movements, validating the principle that volume precedes and confirms large price swings.</w:t>
      </w:r>
    </w:p>
    <w:p>
      <w:pPr>
        <w:pStyle w:val="ListParagraph"/>
        <w:numPr>
          <w:ilvl w:val="0"/>
          <w:numId w:val="3"/>
        </w:numPr>
        <w:spacing w:after="60" w:before="60"/>
      </w:pPr>
      <w:r>
        <w:rPr>
          <w:rFonts w:ascii="Arial" w:cs="Arial" w:eastAsia="Arial" w:hAnsi="Arial"/>
          <w:color w:val="404040"/>
          <w:sz w:val="22"/>
          <w:szCs w:val="22"/>
        </w:rPr>
        <w:t xml:space="preserve">The volatility chart identified distinct high-risk periods characterised by elevated daily swings, which correlate with wider candle bodies and longer wicks in the candlestick chart.</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5.2 Actionable Recommendations</w:t>
      </w:r>
    </w:p>
    <w:p>
      <w:pPr>
        <w:pStyle w:val="ListParagraph"/>
        <w:numPr>
          <w:ilvl w:val="0"/>
          <w:numId w:val="2"/>
        </w:numPr>
        <w:spacing w:after="60" w:before="60"/>
      </w:pPr>
      <w:r>
        <w:rPr>
          <w:rFonts w:ascii="Arial" w:cs="Arial" w:eastAsia="Arial" w:hAnsi="Arial"/>
          <w:color w:val="404040"/>
          <w:sz w:val="22"/>
          <w:szCs w:val="22"/>
        </w:rPr>
        <w:t xml:space="preserve">Combine the SMA and EMA on a single chart as a dual-average system. When the faster EMA crosses above the slower SMA, it generates a potential buy signal; a cross below generates a potential sell signal.</w:t>
      </w:r>
    </w:p>
    <w:p>
      <w:pPr>
        <w:pStyle w:val="ListParagraph"/>
        <w:numPr>
          <w:ilvl w:val="0"/>
          <w:numId w:val="2"/>
        </w:numPr>
        <w:spacing w:after="60" w:before="60"/>
      </w:pPr>
      <w:r>
        <w:rPr>
          <w:rFonts w:ascii="Arial" w:cs="Arial" w:eastAsia="Arial" w:hAnsi="Arial"/>
          <w:color w:val="404040"/>
          <w:sz w:val="22"/>
          <w:szCs w:val="22"/>
        </w:rPr>
        <w:t xml:space="preserve">Use the volatility chart as a risk filter before entering a trade. If volatility is near its recent peak, it may be prudent to wait for the market to stabilise before committing capital.</w:t>
      </w:r>
    </w:p>
    <w:p>
      <w:pPr>
        <w:pStyle w:val="ListParagraph"/>
        <w:numPr>
          <w:ilvl w:val="0"/>
          <w:numId w:val="2"/>
        </w:numPr>
        <w:spacing w:after="60" w:before="60"/>
      </w:pPr>
      <w:r>
        <w:rPr>
          <w:rFonts w:ascii="Arial" w:cs="Arial" w:eastAsia="Arial" w:hAnsi="Arial"/>
          <w:color w:val="404040"/>
          <w:sz w:val="22"/>
          <w:szCs w:val="22"/>
        </w:rPr>
        <w:t xml:space="preserve">Treat volume spikes as confirmation signals rather than standalone triggers. A price breakout accompanied by a volume spike carries more credibility than one that occurs on typical or below-average volume.</w:t>
      </w:r>
    </w:p>
    <w:p>
      <w:pPr>
        <w:pStyle w:val="ListParagraph"/>
        <w:numPr>
          <w:ilvl w:val="0"/>
          <w:numId w:val="2"/>
        </w:numPr>
        <w:spacing w:after="60" w:before="60"/>
      </w:pPr>
      <w:r>
        <w:rPr>
          <w:rFonts w:ascii="Arial" w:cs="Arial" w:eastAsia="Arial" w:hAnsi="Arial"/>
          <w:color w:val="404040"/>
          <w:sz w:val="22"/>
          <w:szCs w:val="22"/>
        </w:rPr>
        <w:t xml:space="preserve">Leverage the interactive candlestick chart for detailed micro-analysis of specific events identified in the other charts.</w:t>
      </w:r>
    </w:p>
    <w:p>
      <w:pPr>
        <w:spacing w:after="60" w:before="60"/>
      </w:pPr>
      <w:r>
        <w:t xml:space="preserve"/>
      </w:r>
    </w:p>
    <w:p>
      <w:pPr>
        <w:pStyle w:val="Heading1"/>
        <w:pBdr>
          <w:bottom w:val="single" w:color="2E75B6" w:sz="8" w:space="4"/>
        </w:pBdr>
        <w:spacing w:after="160" w:before="360"/>
      </w:pPr>
      <w:r>
        <w:rPr>
          <w:rFonts w:ascii="Arial" w:cs="Arial" w:eastAsia="Arial" w:hAnsi="Arial"/>
          <w:b/>
          <w:bCs/>
          <w:color w:val="1F3864"/>
          <w:sz w:val="32"/>
          <w:szCs w:val="32"/>
        </w:rPr>
        <w:t xml:space="preserve">6. Challenges and Future Work</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6.1 Challenges Encountered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BDD7EE" w:val="clear"/>
            <w:tcMar>
              <w:top w:type="dxa" w:w="100"/>
              <w:left w:type="dxa" w:w="150"/>
              <w:bottom w:type="dxa" w:w="100"/>
              <w:right w:type="dxa" w:w="150"/>
            </w:tcMar>
            <w:vAlign w:val="center"/>
          </w:tcPr>
          <w:p>
            <w:pPr>
              <w:jc w:val="center"/>
            </w:pPr>
            <w:r>
              <w:rPr>
                <w:rFonts w:ascii="Arial" w:cs="Arial" w:eastAsia="Arial" w:hAnsi="Arial"/>
                <w:b/>
                <w:bCs/>
                <w:color w:val="1F3864"/>
                <w:sz w:val="20"/>
                <w:szCs w:val="20"/>
              </w:rPr>
              <w:t xml:space="preserve">Real-Time Data</w:t>
            </w:r>
          </w:p>
        </w:tc>
        <w:tc>
          <w:tcPr>
            <w:tcW w:type="dxa" w:w="7560"/>
            <w:tcBorders>
              <w:top w:val="single" w:color="CCCCCC" w:sz="1"/>
              <w:left w:val="single" w:color="CCCCCC" w:sz="1"/>
              <w:bottom w:val="single" w:color="CCCCCC" w:sz="1"/>
              <w:right w:val="single" w:color="CCCCCC" w:sz="1"/>
            </w:tcBorders>
            <w:shd w:fill="F0F5FB" w:val="clear"/>
            <w:tcMar>
              <w:top w:type="dxa" w:w="100"/>
              <w:left w:type="dxa" w:w="150"/>
              <w:bottom w:type="dxa" w:w="100"/>
              <w:right w:type="dxa" w:w="150"/>
            </w:tcMar>
          </w:tcPr>
          <w:p>
            <w:r>
              <w:rPr>
                <w:rFonts w:ascii="Arial" w:cs="Arial" w:eastAsia="Arial" w:hAnsi="Arial"/>
                <w:color w:val="404040"/>
                <w:sz w:val="22"/>
                <w:szCs w:val="22"/>
              </w:rPr>
              <w:t xml:space="preserve">Financial markets generate data continuously during trading hours. The current implementation reads from a static CSV file and does not update automatically. This means the analysis reflects a historical snapshot rather than current market conditions, limiting its practical utility for live trading decisions.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BDD7EE" w:val="clear"/>
            <w:tcMar>
              <w:top w:type="dxa" w:w="100"/>
              <w:left w:type="dxa" w:w="150"/>
              <w:bottom w:type="dxa" w:w="100"/>
              <w:right w:type="dxa" w:w="150"/>
            </w:tcMar>
            <w:vAlign w:val="center"/>
          </w:tcPr>
          <w:p>
            <w:pPr>
              <w:jc w:val="center"/>
            </w:pPr>
            <w:r>
              <w:rPr>
                <w:rFonts w:ascii="Arial" w:cs="Arial" w:eastAsia="Arial" w:hAnsi="Arial"/>
                <w:b/>
                <w:bCs/>
                <w:color w:val="1F3864"/>
                <w:sz w:val="20"/>
                <w:szCs w:val="20"/>
              </w:rPr>
              <w:t xml:space="preserve">Dataset Noise</w:t>
            </w:r>
          </w:p>
        </w:tc>
        <w:tc>
          <w:tcPr>
            <w:tcW w:type="dxa" w:w="7560"/>
            <w:tcBorders>
              <w:top w:val="single" w:color="CCCCCC" w:sz="1"/>
              <w:left w:val="single" w:color="CCCCCC" w:sz="1"/>
              <w:bottom w:val="single" w:color="CCCCCC" w:sz="1"/>
              <w:right w:val="single" w:color="CCCCCC" w:sz="1"/>
            </w:tcBorders>
            <w:shd w:fill="F0F5FB" w:val="clear"/>
            <w:tcMar>
              <w:top w:type="dxa" w:w="100"/>
              <w:left w:type="dxa" w:w="150"/>
              <w:bottom w:type="dxa" w:w="100"/>
              <w:right w:type="dxa" w:w="150"/>
            </w:tcMar>
          </w:tcPr>
          <w:p>
            <w:r>
              <w:rPr>
                <w:rFonts w:ascii="Arial" w:cs="Arial" w:eastAsia="Arial" w:hAnsi="Arial"/>
                <w:color w:val="404040"/>
                <w:sz w:val="22"/>
                <w:szCs w:val="22"/>
              </w:rPr>
              <w:t xml:space="preserve">Financial price data is inherently noisy — it contains random short-term fluctuations that do not carry predictive value. While the SMA and EMA help smooth this noise, more sophisticated filtering or signal-processing techniques would be required to further separate signal from noise in a production environment.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BDD7EE" w:val="clear"/>
            <w:tcMar>
              <w:top w:type="dxa" w:w="100"/>
              <w:left w:type="dxa" w:w="150"/>
              <w:bottom w:type="dxa" w:w="100"/>
              <w:right w:type="dxa" w:w="150"/>
            </w:tcMar>
            <w:vAlign w:val="center"/>
          </w:tcPr>
          <w:p>
            <w:pPr>
              <w:jc w:val="center"/>
            </w:pPr>
            <w:r>
              <w:rPr>
                <w:rFonts w:ascii="Arial" w:cs="Arial" w:eastAsia="Arial" w:hAnsi="Arial"/>
                <w:b/>
                <w:bCs/>
                <w:color w:val="1F3864"/>
                <w:sz w:val="20"/>
                <w:szCs w:val="20"/>
              </w:rPr>
              <w:t xml:space="preserve">API Limitations</w:t>
            </w:r>
          </w:p>
        </w:tc>
        <w:tc>
          <w:tcPr>
            <w:tcW w:type="dxa" w:w="7560"/>
            <w:tcBorders>
              <w:top w:val="single" w:color="CCCCCC" w:sz="1"/>
              <w:left w:val="single" w:color="CCCCCC" w:sz="1"/>
              <w:bottom w:val="single" w:color="CCCCCC" w:sz="1"/>
              <w:right w:val="single" w:color="CCCCCC" w:sz="1"/>
            </w:tcBorders>
            <w:shd w:fill="F0F5FB" w:val="clear"/>
            <w:tcMar>
              <w:top w:type="dxa" w:w="100"/>
              <w:left w:type="dxa" w:w="150"/>
              <w:bottom w:type="dxa" w:w="100"/>
              <w:right w:type="dxa" w:w="150"/>
            </w:tcMar>
          </w:tcPr>
          <w:p>
            <w:r>
              <w:rPr>
                <w:rFonts w:ascii="Arial" w:cs="Arial" w:eastAsia="Arial" w:hAnsi="Arial"/>
                <w:color w:val="404040"/>
                <w:sz w:val="22"/>
                <w:szCs w:val="22"/>
              </w:rPr>
              <w:t xml:space="preserve">Sourcing live or recent historical data from financial data providers typically requires API access, which comes with rate limits, authentication requirements, and in some cases subscription fees. These constraints make it harder to build a self-updating analysis pipeline without careful design.</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6.2 Future Work and Enhancements</w:t>
      </w:r>
    </w:p>
    <w:p>
      <w:pPr>
        <w:pStyle w:val="ListParagraph"/>
        <w:numPr>
          <w:ilvl w:val="0"/>
          <w:numId w:val="2"/>
        </w:numPr>
        <w:spacing w:after="60" w:before="60"/>
      </w:pPr>
      <w:r>
        <w:rPr>
          <w:rFonts w:ascii="Arial" w:cs="Arial" w:eastAsia="Arial" w:hAnsi="Arial"/>
          <w:color w:val="404040"/>
          <w:sz w:val="22"/>
          <w:szCs w:val="22"/>
        </w:rPr>
        <w:t xml:space="preserve">AI-Based Price Prediction: Machine learning models — particularly LSTM (Long Short-Term Memory) neural networks — are well suited to time-series forecasting. Integrating a trained model into the pipeline would allow the tool to generate probabilistic price forecasts alongside the historical analysis.</w:t>
      </w:r>
    </w:p>
    <w:p>
      <w:pPr>
        <w:pStyle w:val="ListParagraph"/>
        <w:numPr>
          <w:ilvl w:val="0"/>
          <w:numId w:val="2"/>
        </w:numPr>
        <w:spacing w:after="60" w:before="60"/>
      </w:pPr>
      <w:r>
        <w:rPr>
          <w:rFonts w:ascii="Arial" w:cs="Arial" w:eastAsia="Arial" w:hAnsi="Arial"/>
          <w:color w:val="404040"/>
          <w:sz w:val="22"/>
          <w:szCs w:val="22"/>
        </w:rPr>
        <w:t xml:space="preserve">Sentiment Analysis: Financial markets are heavily influenced by news, social media discussions, and macroeconomic commentary. By ingesting text data from platforms such as Twitter or financial news APIs and applying natural language processing, a sentiment score could be computed and overlaid on the price charts to correlate market mood with price action.</w:t>
      </w:r>
    </w:p>
    <w:p>
      <w:pPr>
        <w:pStyle w:val="ListParagraph"/>
        <w:numPr>
          <w:ilvl w:val="0"/>
          <w:numId w:val="2"/>
        </w:numPr>
        <w:spacing w:after="60" w:before="60"/>
      </w:pPr>
      <w:r>
        <w:rPr>
          <w:rFonts w:ascii="Arial" w:cs="Arial" w:eastAsia="Arial" w:hAnsi="Arial"/>
          <w:color w:val="404040"/>
          <w:sz w:val="22"/>
          <w:szCs w:val="22"/>
        </w:rPr>
        <w:t xml:space="preserve">Real-Time Dashboard Integration: Converting the visualizations into a continuously updating web dashboard — for example using Dash or Streamlit — would allow analysts to monitor live market conditions rather than relying on static snapshots.</w:t>
      </w:r>
    </w:p>
    <w:p>
      <w:pPr>
        <w:pStyle w:val="ListParagraph"/>
        <w:numPr>
          <w:ilvl w:val="0"/>
          <w:numId w:val="2"/>
        </w:numPr>
        <w:spacing w:after="60" w:before="60"/>
      </w:pPr>
      <w:r>
        <w:rPr>
          <w:rFonts w:ascii="Arial" w:cs="Arial" w:eastAsia="Arial" w:hAnsi="Arial"/>
          <w:color w:val="404040"/>
          <w:sz w:val="22"/>
          <w:szCs w:val="22"/>
        </w:rPr>
        <w:t xml:space="preserve">Expanded Indicator Library: Additional technical indicators such as the Relative Strength Index (RSI), Bollinger Bands, and MACD (Moving Average Convergence Divergence) would broaden the analytical toolkit and provide more nuanced trading signals.</w:t>
      </w:r>
    </w:p>
    <w:p>
      <w:pPr>
        <w:pStyle w:val="ListParagraph"/>
        <w:numPr>
          <w:ilvl w:val="0"/>
          <w:numId w:val="2"/>
        </w:numPr>
        <w:spacing w:after="60" w:before="60"/>
      </w:pPr>
      <w:r>
        <w:rPr>
          <w:rFonts w:ascii="Arial" w:cs="Arial" w:eastAsia="Arial" w:hAnsi="Arial"/>
          <w:color w:val="404040"/>
          <w:sz w:val="22"/>
          <w:szCs w:val="22"/>
        </w:rPr>
        <w:t xml:space="preserve">Multi-Asset Comparison: Extending the analysis to cover multiple stocks or cryptocurrencies simultaneously would allow correlation analysis and portfolio-level risk assessment.</w:t>
      </w:r>
    </w:p>
    <w:p>
      <w:pPr>
        <w:spacing w:after="60" w:before="60"/>
      </w:pPr>
      <w:r>
        <w:t xml:space="preserve"/>
      </w:r>
    </w:p>
    <w:p>
      <w:pPr>
        <w:pStyle w:val="Heading1"/>
        <w:pBdr>
          <w:bottom w:val="single" w:color="2E75B6" w:sz="8" w:space="4"/>
        </w:pBdr>
        <w:spacing w:after="160" w:before="360"/>
      </w:pPr>
      <w:r>
        <w:rPr>
          <w:rFonts w:ascii="Arial" w:cs="Arial" w:eastAsia="Arial" w:hAnsi="Arial"/>
          <w:b/>
          <w:bCs/>
          <w:color w:val="1F3864"/>
          <w:sz w:val="32"/>
          <w:szCs w:val="32"/>
        </w:rPr>
        <w:t xml:space="preserve">7. Conclusion</w:t>
      </w:r>
    </w:p>
    <w:p>
      <w:pPr>
        <w:spacing w:after="120" w:before="80" w:line="320"/>
      </w:pPr>
      <w:r>
        <w:rPr>
          <w:rFonts w:ascii="Arial" w:cs="Arial" w:eastAsia="Arial" w:hAnsi="Arial"/>
          <w:color w:val="404040"/>
          <w:sz w:val="22"/>
          <w:szCs w:val="22"/>
        </w:rPr>
        <w:t xml:space="preserve">The Financial Market Analyzer project provides a well-structured, end-to-end pipeline for historical market data analysis. Beginning with raw CSV data, the project applies standard data-cleaning techniques, enriches the dataset with widely used technical indicators, and communicates its findings through a carefully selected set of five visualizations — each targeting a distinct analytical question about price trend, trading activity, indicator responsiveness, risk, and detailed candlestick-level behaviour.</w:t>
      </w:r>
    </w:p>
    <w:p>
      <w:pPr>
        <w:spacing w:after="60" w:before="60"/>
      </w:pPr>
      <w:r>
        <w:t xml:space="preserve"/>
      </w:r>
    </w:p>
    <w:p>
      <w:pPr>
        <w:spacing w:after="120" w:before="80" w:line="320"/>
      </w:pPr>
      <w:r>
        <w:rPr>
          <w:rFonts w:ascii="Arial" w:cs="Arial" w:eastAsia="Arial" w:hAnsi="Arial"/>
          <w:color w:val="404040"/>
          <w:sz w:val="22"/>
          <w:szCs w:val="22"/>
        </w:rPr>
        <w:t xml:space="preserve">The modular architecture of the project — separating data loading, preprocessing, static visualization, and interactive visualization into distinct stages — makes it straightforward to extend with additional data sources, indicators, or chart types. The recommendations and future-work directions outlined in this report provide a clear roadmap for evolving the tool from a static analysis notebook into a dynamic, real-time analytical platform suitable for professional use.</w:t>
      </w:r>
    </w:p>
    <w:p>
      <w:pPr>
        <w:spacing w:after="60" w:before="60"/>
      </w:pPr>
      <w:r>
        <w:t xml:space="preserve"/>
      </w:r>
    </w:p>
    <w:p>
      <w:pPr>
        <w:spacing w:after="120" w:before="80" w:line="320"/>
      </w:pPr>
      <w:r>
        <w:rPr>
          <w:rFonts w:ascii="Arial" w:cs="Arial" w:eastAsia="Arial" w:hAnsi="Arial"/>
          <w:i/>
          <w:iCs/>
          <w:color w:val="404040"/>
          <w:sz w:val="22"/>
          <w:szCs w:val="22"/>
        </w:rPr>
        <w:t xml:space="preserve">Overall, this project demonstrates a practical command of financial data analysis concepts and the Python data science ecosystem, and serves as a strong foundation for more advanced research into algorithmic trading, risk management, and AI-driven market forecasting.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80"/>
    </w:pPr>
    <w:r>
      <w:rPr>
        <w:rFonts w:ascii="Arial" w:cs="Arial" w:eastAsia="Arial" w:hAnsi="Arial"/>
        <w:color w:val="595959"/>
        <w:sz w:val="18"/>
        <w:szCs w:val="18"/>
      </w:rPr>
      <w:t xml:space="preserve">Confidential — For Internal Use Only</w:t>
    </w:r>
    <w:r>
      <w:rPr>
        <w:rFonts w:ascii="Arial" w:cs="Arial" w:eastAsia="Arial" w:hAnsi="Arial"/>
        <w:color w:val="595959"/>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00" w:before="0"/>
    </w:pPr>
    <w:r>
      <w:rPr>
        <w:rFonts w:ascii="Arial" w:cs="Arial" w:eastAsia="Arial" w:hAnsi="Arial"/>
        <w:color w:val="595959"/>
        <w:sz w:val="18"/>
        <w:szCs w:val="18"/>
      </w:rPr>
      <w:t xml:space="preserve">Financial Market Analyzer — Project Explanation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2026-05-15T13:00:30.560Z</dcterms:created>
  <dcterms:modified xsi:type="dcterms:W3CDTF">2026-05-15T13:00:30.560Z</dcterms:modified>
</cp:coreProperties>
</file>

<file path=docProps/custom.xml><?xml version="1.0" encoding="utf-8"?>
<Properties xmlns="http://schemas.openxmlformats.org/officeDocument/2006/custom-properties" xmlns:vt="http://schemas.openxmlformats.org/officeDocument/2006/docPropsVTypes"/>
</file>