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TASK 32</w:t>
        <w:br/>
        <w:t>ADVANCED DASHBOARD UX</w:t>
      </w:r>
    </w:p>
    <w:p>
      <w:pPr>
        <w:jc w:val="center"/>
      </w:pPr>
      <w:r>
        <w:rPr>
          <w:b/>
          <w:sz w:val="28"/>
        </w:rPr>
        <w:t>Superstore Executive Analytics | Power BI</w:t>
      </w:r>
    </w:p>
    <w:p/>
    <w:p>
      <w:pPr>
        <w:pStyle w:val="Heading1"/>
      </w:pPr>
      <w:r>
        <w:t>1. Executive Summary</w:t>
      </w:r>
    </w:p>
    <w:p>
      <w:r>
        <w:t>This project transforms the Superstore transaction dataset into an executive-oriented Power BI dashboard concept focused on concise KPI reporting, trend analysis, guided navigation and drill-through exploration. The design separates high-level decisions from detailed analysis so leadership can move from 'what happened?' to 'where and why?' without overcrowding the main page.</w:t>
      </w:r>
    </w:p>
    <w:p>
      <w:pPr>
        <w:pStyle w:val="Heading1"/>
      </w:pPr>
      <w:r>
        <w:t>2. Dataset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Validated Value</w:t>
            </w:r>
          </w:p>
        </w:tc>
      </w:tr>
      <w:tr>
        <w:tc>
          <w:tcPr>
            <w:tcW w:type="dxa" w:w="4320"/>
          </w:tcPr>
          <w:p>
            <w:r>
              <w:t>Transaction rows</w:t>
            </w:r>
          </w:p>
        </w:tc>
        <w:tc>
          <w:tcPr>
            <w:tcW w:type="dxa" w:w="4320"/>
          </w:tcPr>
          <w:p>
            <w:r>
              <w:t>10,194</w:t>
            </w:r>
          </w:p>
        </w:tc>
      </w:tr>
      <w:tr>
        <w:tc>
          <w:tcPr>
            <w:tcW w:type="dxa" w:w="4320"/>
          </w:tcPr>
          <w:p>
            <w:r>
              <w:t>Distinct orders</w:t>
            </w:r>
          </w:p>
        </w:tc>
        <w:tc>
          <w:tcPr>
            <w:tcW w:type="dxa" w:w="4320"/>
          </w:tcPr>
          <w:p>
            <w:r>
              <w:t>5,111</w:t>
            </w:r>
          </w:p>
        </w:tc>
      </w:tr>
      <w:tr>
        <w:tc>
          <w:tcPr>
            <w:tcW w:type="dxa" w:w="4320"/>
          </w:tcPr>
          <w:p>
            <w:r>
              <w:t>Distinct customers</w:t>
            </w:r>
          </w:p>
        </w:tc>
        <w:tc>
          <w:tcPr>
            <w:tcW w:type="dxa" w:w="4320"/>
          </w:tcPr>
          <w:p>
            <w:r>
              <w:t>804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$2,326,534.35</w:t>
            </w:r>
          </w:p>
        </w:tc>
      </w:tr>
      <w:tr>
        <w:tc>
          <w:tcPr>
            <w:tcW w:type="dxa" w:w="4320"/>
          </w:tcPr>
          <w:p>
            <w:r>
              <w:t>Profit</w:t>
            </w:r>
          </w:p>
        </w:tc>
        <w:tc>
          <w:tcPr>
            <w:tcW w:type="dxa" w:w="4320"/>
          </w:tcPr>
          <w:p>
            <w:r>
              <w:t>$292,296.81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Returned orders</w:t>
            </w:r>
          </w:p>
        </w:tc>
        <w:tc>
          <w:tcPr>
            <w:tcW w:type="dxa" w:w="4320"/>
          </w:tcPr>
          <w:p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Return rate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  <w:tr>
        <w:tc>
          <w:tcPr>
            <w:tcW w:type="dxa" w:w="4320"/>
          </w:tcPr>
          <w:p>
            <w:r>
              <w:t>Date coverage</w:t>
            </w:r>
          </w:p>
        </w:tc>
        <w:tc>
          <w:tcPr>
            <w:tcW w:type="dxa" w:w="4320"/>
          </w:tcPr>
          <w:p>
            <w:r>
              <w:t>03 Jan 2023 – 30 Dec 2026</w:t>
            </w:r>
          </w:p>
        </w:tc>
      </w:tr>
    </w:tbl>
    <w:p>
      <w:pPr>
        <w:pStyle w:val="Heading1"/>
      </w:pPr>
      <w:r>
        <w:t>3. Dashboard Architecture</w:t>
      </w:r>
    </w:p>
    <w:p>
      <w:pPr>
        <w:pStyle w:val="Heading2"/>
      </w:pPr>
      <w:r>
        <w:t>Executive Overview</w:t>
      </w:r>
    </w:p>
    <w:p>
      <w:r>
        <w:t>A concise landing page with KPI cards, monthly trend, category performance, regional profitability and a small slicer set.</w:t>
      </w:r>
    </w:p>
    <w:p>
      <w:pPr>
        <w:pStyle w:val="Heading2"/>
      </w:pPr>
      <w:r>
        <w:t>Performance Analysis</w:t>
      </w:r>
    </w:p>
    <w:p>
      <w:r>
        <w:t>A diagnostic page combining YoY comparisons, monthly movement, region/segment analysis and discount-profit relationships.</w:t>
      </w:r>
    </w:p>
    <w:p>
      <w:pPr>
        <w:pStyle w:val="Heading2"/>
      </w:pPr>
      <w:r>
        <w:t>Product Performance</w:t>
      </w:r>
    </w:p>
    <w:p>
      <w:r>
        <w:t>A product-focused page using Top-N views, sub-category comparisons and a searchable detail table.</w:t>
      </w:r>
    </w:p>
    <w:p>
      <w:pPr>
        <w:pStyle w:val="Heading2"/>
      </w:pPr>
      <w:r>
        <w:t>Drill-through Detail</w:t>
      </w:r>
    </w:p>
    <w:p>
      <w:r>
        <w:t>A contextual page that receives Region or Product filters and exposes focused KPIs, trends and order-level detail.</w:t>
      </w:r>
    </w:p>
    <w:p>
      <w:pPr>
        <w:pStyle w:val="Heading1"/>
      </w:pPr>
      <w:r>
        <w:t>4. DAX &amp; Modeling Approach</w:t>
      </w:r>
    </w:p>
    <w:p>
      <w:r>
        <w:t>The model uses Orders as the primary fact table, with Date and People as supporting dimensions and Returns as the return-status source. Core measures include Sales, Profit, Profit Margin, Orders, Customers, Average Order Value, Return Rate and year-over-year comparisons. A dedicated Date table supports reliable time intelligence.</w:t>
      </w:r>
    </w:p>
    <w:p>
      <w:pPr>
        <w:pStyle w:val="Heading1"/>
      </w:pPr>
      <w:r>
        <w:t>5. UX Decisions</w:t>
      </w:r>
    </w:p>
    <w:p>
      <w:pPr>
        <w:pStyle w:val="ListBullet"/>
      </w:pPr>
      <w:r>
        <w:t>Executive page prioritizes decision-ready KPIs rather than raw detail.</w:t>
      </w:r>
    </w:p>
    <w:p>
      <w:pPr>
        <w:pStyle w:val="ListBullet"/>
      </w:pPr>
      <w:r>
        <w:t>Page navigation provides a predictable route from overview to analysis.</w:t>
      </w:r>
    </w:p>
    <w:p>
      <w:pPr>
        <w:pStyle w:val="ListBullet"/>
      </w:pPr>
      <w:r>
        <w:t>Drill-through keeps detailed context off the main executive page.</w:t>
      </w:r>
    </w:p>
    <w:p>
      <w:pPr>
        <w:pStyle w:val="ListBullet"/>
      </w:pPr>
      <w:r>
        <w:t>Consistent number formats and a restrained navy/orange theme improve scanability.</w:t>
      </w:r>
    </w:p>
    <w:p>
      <w:pPr>
        <w:pStyle w:val="ListBullet"/>
      </w:pPr>
      <w:r>
        <w:t>Tooltips and slicer panels reduce visual clutter while preserving interactivity.</w:t>
      </w:r>
    </w:p>
    <w:p>
      <w:pPr>
        <w:pStyle w:val="Heading1"/>
      </w:pPr>
      <w:r>
        <w:t>6. Testing &amp; Acceptance Criteria</w:t>
      </w:r>
    </w:p>
    <w:p>
      <w:pPr>
        <w:pStyle w:val="ListBullet"/>
      </w:pPr>
      <w:r>
        <w:t>All report pages load without broken visuals.</w:t>
      </w:r>
    </w:p>
    <w:p>
      <w:pPr>
        <w:pStyle w:val="ListBullet"/>
      </w:pPr>
      <w:r>
        <w:t>Year, Region and Segment filters propagate correctly.</w:t>
      </w:r>
    </w:p>
    <w:p>
      <w:pPr>
        <w:pStyle w:val="ListBullet"/>
      </w:pPr>
      <w:r>
        <w:t>Drill-through opens with the selected Region/Product context.</w:t>
      </w:r>
    </w:p>
    <w:p>
      <w:pPr>
        <w:pStyle w:val="ListBullet"/>
      </w:pPr>
      <w:r>
        <w:t>Back navigation returns to the previous analysis page.</w:t>
      </w:r>
    </w:p>
    <w:p>
      <w:pPr>
        <w:pStyle w:val="ListBullet"/>
      </w:pPr>
      <w:r>
        <w:t>KPI totals reconcile with the validated workbook.</w:t>
      </w:r>
    </w:p>
    <w:p>
      <w:pPr>
        <w:pStyle w:val="ListBullet"/>
      </w:pPr>
      <w:r>
        <w:t>Date intelligence produces sensible LY and YoY values.</w:t>
      </w:r>
    </w:p>
    <w:p>
      <w:pPr>
        <w:pStyle w:val="ListBullet"/>
      </w:pPr>
      <w:r>
        <w:t>Executive page remains concise at common screen sizes.</w:t>
      </w:r>
    </w:p>
    <w:p>
      <w:pPr>
        <w:pStyle w:val="Heading1"/>
      </w:pPr>
      <w:r>
        <w:t>7. Deliverable Status</w:t>
      </w:r>
    </w:p>
    <w:p>
      <w:r>
        <w:t>The supporting project package is complete and Power BI-ready. The final .pbix must be saved in Power BI Desktop after implementing the supplied model, DAX, pages and navigation specification.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