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Allgemeine Geschäftsbedingungen (AGB)</w:t>
      </w:r>
    </w:p>
    <w:p>
      <w:pPr>
        <w:spacing w:after="60"/>
        <w:jc w:val="center"/>
      </w:pPr>
      <w:r>
        <w:rPr>
          <w:rFonts w:ascii="Arial" w:cs="Arial" w:eastAsia="Arial" w:hAnsi="Arial"/>
          <w:color w:val="444444"/>
          <w:sz w:val="22"/>
          <w:szCs w:val="22"/>
        </w:rPr>
        <w:t xml:space="preserve">OffiTec Group AG – Geschäftsbereich OffiTec Heating &amp; Cooling</w:t>
      </w:r>
    </w:p>
    <w:p>
      <w:pPr>
        <w:spacing w:after="60"/>
        <w:jc w:val="center"/>
      </w:pPr>
      <w:r>
        <w:rPr>
          <w:rFonts w:ascii="Arial" w:cs="Arial" w:eastAsia="Arial" w:hAnsi="Arial"/>
          <w:color w:val="444444"/>
          <w:sz w:val="22"/>
          <w:szCs w:val="22"/>
        </w:rPr>
        <w:t xml:space="preserve">[Adresse], [PLZ Ort], Schweiz · CHE-[UID-Nr.]</w:t>
      </w:r>
    </w:p>
    <w:p>
      <w:pPr>
        <w:spacing w:after="60"/>
        <w:jc w:val="center"/>
      </w:pPr>
      <w:r>
        <w:rPr>
          <w:rFonts w:ascii="Arial" w:cs="Arial" w:eastAsia="Arial" w:hAnsi="Arial"/>
          <w:color w:val="444444"/>
          <w:sz w:val="22"/>
          <w:szCs w:val="22"/>
        </w:rPr>
        <w:t xml:space="preserve">Ausgabe: [Monat] 2026 · Ersetzt alle früheren Fassungen</w:t>
      </w:r>
    </w:p>
    <w:p>
      <w:pPr>
        <w:pBdr>
          <w:bottom w:val="single" w:color="999999" w:sz="6"/>
        </w:pBdr>
        <w:spacing w:after="100" w:before="100"/>
      </w:pPr>
    </w:p>
    <w:p>
      <w:pPr>
        <w:pStyle w:val="Heading1"/>
        <w:spacing w:after="120" w:before="300"/>
      </w:pPr>
      <w:r>
        <w:rPr>
          <w:rFonts w:ascii="Arial" w:cs="Arial" w:eastAsia="Arial" w:hAnsi="Arial"/>
          <w:b/>
          <w:bCs/>
          <w:color w:val="1F3864"/>
          <w:sz w:val="26"/>
          <w:szCs w:val="26"/>
        </w:rPr>
        <w:t xml:space="preserve">1. Geltungsbereich und Vertragsgrundlagen</w:t>
      </w:r>
    </w:p>
    <w:p>
      <w:pPr>
        <w:spacing w:after="100"/>
        <w:jc w:val="both"/>
      </w:pPr>
      <w:r>
        <w:rPr>
          <w:rFonts w:ascii="Arial" w:cs="Arial" w:eastAsia="Arial" w:hAnsi="Arial"/>
          <w:b w:val="false"/>
          <w:bCs w:val="false"/>
          <w:sz w:val="20"/>
          <w:szCs w:val="20"/>
        </w:rPr>
        <w:t xml:space="preserve">1.1 Diese Allgemeinen Geschäftsbedingungen (nachfolgend «AGB») gelten für sämtliche Angebote, Lieferungen und Leistungen der OffiTec Group AG, Geschäftsbereich OffiTec Heating &amp; Cooling (nachfolgend «OffiTec»), betreffend Kältemaschinen, Wärmepumpen, Rückkühler, Wärmetauscher, Zubehör und Ersatzteile (nachfolgend «Produkte») sowie damit verbundene Dienstleistungen (Inbetriebnahme, Service, Wartung, Cloud Service).</w:t>
      </w:r>
    </w:p>
    <w:p>
      <w:pPr>
        <w:spacing w:after="100"/>
        <w:jc w:val="both"/>
      </w:pPr>
      <w:r>
        <w:rPr>
          <w:rFonts w:ascii="Arial" w:cs="Arial" w:eastAsia="Arial" w:hAnsi="Arial"/>
          <w:b w:val="false"/>
          <w:bCs w:val="false"/>
          <w:sz w:val="20"/>
          <w:szCs w:val="20"/>
        </w:rPr>
        <w:t xml:space="preserve">1.2 Die AGB gelten gegenüber Unternehmen, Planern, Installateuren, General- und Totalunternehmern sowie Wiederverkäufern (nachfolgend «Geschäftskunden») und gegenüber Konsumentinnen und Konsumenten im Sinne des schweizerischen Rechts (nachfolgend «Privatkunden»). Soweit einzelne Bestimmungen nur für Geschäftskunden oder nur für Privatkunden gelten, ist dies ausdrücklich vermerkt. Zwingende gesetzliche Rechte von Privatkunden bleiben in jedem Fall vorbehalten.</w:t>
      </w:r>
    </w:p>
    <w:p>
      <w:pPr>
        <w:spacing w:after="100"/>
        <w:jc w:val="both"/>
      </w:pPr>
      <w:r>
        <w:rPr>
          <w:rFonts w:ascii="Arial" w:cs="Arial" w:eastAsia="Arial" w:hAnsi="Arial"/>
          <w:b w:val="false"/>
          <w:bCs w:val="false"/>
          <w:sz w:val="20"/>
          <w:szCs w:val="20"/>
        </w:rPr>
        <w:t xml:space="preserve">1.3 Abweichende, entgegenstehende oder ergänzende Geschäftsbedingungen des Kunden werden nicht Vertragsbestandteil, auch wenn OffiTec ihnen nicht ausdrücklich widerspricht oder in deren Kenntnis vorbehaltlos liefert. Sie gelten nur, wenn OffiTec ihnen schriftlich und ausdrücklich zugestimmt hat.</w:t>
      </w:r>
    </w:p>
    <w:p>
      <w:pPr>
        <w:spacing w:after="100"/>
        <w:jc w:val="both"/>
      </w:pPr>
      <w:r>
        <w:rPr>
          <w:rFonts w:ascii="Arial" w:cs="Arial" w:eastAsia="Arial" w:hAnsi="Arial"/>
          <w:b w:val="false"/>
          <w:bCs w:val="false"/>
          <w:sz w:val="20"/>
          <w:szCs w:val="20"/>
        </w:rPr>
        <w:t xml:space="preserve">1.4 Bei Widersprüchen gilt folgende Rangordnung: (1) individuell schriftlich Vereinbartes, (2) Auftragsbestätigung von OffiTec, (3) Angebot von OffiTec inkl. technischer Spezifikation, (4) diese AGB. Es gilt ausschliesslich Schweizer Recht (Ziff. 20).</w:t>
      </w:r>
    </w:p>
    <w:p>
      <w:pPr>
        <w:spacing w:after="100"/>
        <w:jc w:val="both"/>
      </w:pPr>
      <w:r>
        <w:rPr>
          <w:rFonts w:ascii="Arial" w:cs="Arial" w:eastAsia="Arial" w:hAnsi="Arial"/>
          <w:b w:val="false"/>
          <w:bCs w:val="false"/>
          <w:sz w:val="20"/>
          <w:szCs w:val="20"/>
        </w:rPr>
        <w:t xml:space="preserve">1.5 Die Produkte werden durch die Konzerngesellschaft von OffiTec in der Türkei (Thermoswiss / OffiTec Türkei, Izmir) hergestellt. Vertragspartner, Lieferant und Inverkehrbringer in der Schweiz bzw. im EWR ist ausschliesslich die OffiTec Group AG. Ansprüche des Kunden richten sich ausschliesslich gegen die OffiTec Group AG; eine direkte Inanspruchnahme der Herstellgesellschaft ist ausgeschlossen, soweit gesetzlich zulässig.</w:t>
      </w:r>
    </w:p>
    <w:p>
      <w:pPr>
        <w:shd w:fill="FFF3CD" w:val="clear"/>
        <w:spacing w:after="100"/>
        <w:jc w:val="both"/>
      </w:pPr>
      <w:r>
        <w:rPr>
          <w:rFonts w:ascii="Arial" w:cs="Arial" w:eastAsia="Arial" w:hAnsi="Arial"/>
          <w:i/>
          <w:iCs/>
          <w:color w:val="7A6000"/>
          <w:sz w:val="18"/>
          <w:szCs w:val="18"/>
        </w:rPr>
        <w:t xml:space="preserve">KOMMENTAR (intern, vor Publikation löschen): Ziff. 1.5 kanalisiert alle Ansprüche auf die Schweizer AG. Achtung: Nach PrHG haftet auch der Importeur/Hersteller zwingend – gegenüber Geschädigten (insb. Privaten) kann diese Kanalisierung nicht durchgesetzt werden (Art. 8 PrHG). Für B2B wirkt sie aber.</w:t>
      </w:r>
    </w:p>
    <w:p>
      <w:pPr>
        <w:pStyle w:val="Heading1"/>
        <w:spacing w:after="120" w:before="300"/>
      </w:pPr>
      <w:r>
        <w:rPr>
          <w:rFonts w:ascii="Arial" w:cs="Arial" w:eastAsia="Arial" w:hAnsi="Arial"/>
          <w:b/>
          <w:bCs/>
          <w:color w:val="1F3864"/>
          <w:sz w:val="26"/>
          <w:szCs w:val="26"/>
        </w:rPr>
        <w:t xml:space="preserve">2. Angebote, Vertragsabschluss, technische Unterlagen</w:t>
      </w:r>
    </w:p>
    <w:p>
      <w:pPr>
        <w:spacing w:after="100"/>
        <w:jc w:val="both"/>
      </w:pPr>
      <w:r>
        <w:rPr>
          <w:rFonts w:ascii="Arial" w:cs="Arial" w:eastAsia="Arial" w:hAnsi="Arial"/>
          <w:b w:val="false"/>
          <w:bCs w:val="false"/>
          <w:sz w:val="20"/>
          <w:szCs w:val="20"/>
        </w:rPr>
        <w:t xml:space="preserve">2.1 Angebote von OffiTec sind, sofern nicht anders vermerkt, 30 Tage gültig. Der Vertrag kommt mit der schriftlichen Auftragsbestätigung von OffiTec oder mit Beginn der Ausführung zustande.</w:t>
      </w:r>
    </w:p>
    <w:p>
      <w:pPr>
        <w:spacing w:after="100"/>
        <w:jc w:val="both"/>
      </w:pPr>
      <w:r>
        <w:rPr>
          <w:rFonts w:ascii="Arial" w:cs="Arial" w:eastAsia="Arial" w:hAnsi="Arial"/>
          <w:b w:val="false"/>
          <w:bCs w:val="false"/>
          <w:sz w:val="20"/>
          <w:szCs w:val="20"/>
        </w:rPr>
        <w:t xml:space="preserve">2.2 Technische Daten, Leistungsangaben, Schemata, Zeichnungen und Softwareparameter beruhen auf den vom Kunden bzw. dessen Planer gelieferten Angaben und auf Normbedingungen (u.a. EN 14511, EN 14825). Leistungsangaben gelten an den definierten Messpunkten der Maschine, nicht als Zusicherung des Verhaltens der Gesamtanlage.</w:t>
      </w:r>
    </w:p>
    <w:p>
      <w:pPr>
        <w:spacing w:after="100"/>
        <w:jc w:val="both"/>
      </w:pPr>
      <w:r>
        <w:rPr>
          <w:rFonts w:ascii="Arial" w:cs="Arial" w:eastAsia="Arial" w:hAnsi="Arial"/>
          <w:b w:val="false"/>
          <w:bCs w:val="false"/>
          <w:sz w:val="20"/>
          <w:szCs w:val="20"/>
        </w:rPr>
        <w:t xml:space="preserve">2.3 Alle Unterlagen, Schemata, Auslegungen, Software und Know-how bleiben geistiges Eigentum von OffiTec. Sie dürfen ohne schriftliche Zustimmung weder Dritten zugänglich gemacht noch für Nachbauten oder Ausschreibungen verwendet werden.</w:t>
      </w:r>
    </w:p>
    <w:p>
      <w:pPr>
        <w:spacing w:after="100"/>
        <w:jc w:val="both"/>
      </w:pPr>
      <w:r>
        <w:rPr>
          <w:rFonts w:ascii="Arial" w:cs="Arial" w:eastAsia="Arial" w:hAnsi="Arial"/>
          <w:b w:val="false"/>
          <w:bCs w:val="false"/>
          <w:sz w:val="20"/>
          <w:szCs w:val="20"/>
        </w:rPr>
        <w:t xml:space="preserve">2.4 Offensichtliche Irrtümer, Druck- und Rechnungsfehler in Angeboten und Auftragsbestätigungen binden OffiTec nicht.</w:t>
      </w:r>
    </w:p>
    <w:p>
      <w:pPr>
        <w:spacing w:after="100"/>
        <w:jc w:val="both"/>
      </w:pPr>
      <w:r>
        <w:rPr>
          <w:rFonts w:ascii="Arial" w:cs="Arial" w:eastAsia="Arial" w:hAnsi="Arial"/>
          <w:b/>
          <w:bCs/>
          <w:sz w:val="20"/>
          <w:szCs w:val="20"/>
        </w:rPr>
        <w:t xml:space="preserve">2.5 Verbindlichkeit der Bestellung; kein Rücktritt. </w:t>
      </w:r>
      <w:r>
        <w:rPr>
          <w:rFonts w:ascii="Arial" w:cs="Arial" w:eastAsia="Arial" w:hAnsi="Arial"/>
          <w:sz w:val="20"/>
          <w:szCs w:val="20"/>
        </w:rPr>
        <w:t xml:space="preserve">Mit der Auftragserteilung ist der Kunde an seine Bestellung gebunden. OffiTec löst unmittelbar nach Auftragseingang den Einkauf von Komponenten bei Unterlieferanten aus und beginnt parallel mit Konstruktion und Zeichnungserstellung. Ein freier Rücktritt oder Widerruf des Kunden ist ausgeschlossen; eine Annullierung ist nur mit schriftlicher Zustimmung von OffiTec und gegen Entschädigung gemäss Ziff. 16 möglich. Zwingende gesetzliche Rücktrittsrechte bleiben vorbehalten.</w:t>
      </w:r>
    </w:p>
    <w:p>
      <w:pPr>
        <w:pStyle w:val="Heading1"/>
        <w:spacing w:after="120" w:before="300"/>
      </w:pPr>
      <w:r>
        <w:rPr>
          <w:rFonts w:ascii="Arial" w:cs="Arial" w:eastAsia="Arial" w:hAnsi="Arial"/>
          <w:b/>
          <w:bCs/>
          <w:color w:val="1F3864"/>
          <w:sz w:val="26"/>
          <w:szCs w:val="26"/>
        </w:rPr>
        <w:t xml:space="preserve">3. Mitwirkungspflichten des Kunden; Funktionsbeschreibung (Bringschuld)</w:t>
      </w:r>
    </w:p>
    <w:p>
      <w:pPr>
        <w:spacing w:after="100"/>
        <w:jc w:val="both"/>
      </w:pPr>
      <w:r>
        <w:rPr>
          <w:rFonts w:ascii="Arial" w:cs="Arial" w:eastAsia="Arial" w:hAnsi="Arial"/>
          <w:b w:val="false"/>
          <w:bCs w:val="false"/>
          <w:sz w:val="20"/>
          <w:szCs w:val="20"/>
        </w:rPr>
        <w:t xml:space="preserve">3.1 Planungsverantwortung. Die Auslegung der Gesamtanlage – insbesondere Wärme-/Kältebedarf, Dimensionierung, Hydraulik, Speicher-/Puffervolumen, Einbindung, Regelstrategie, Schall- und Aufstellungskonzept – liegt beim Kunden bzw. bei dessen Planer oder Unternehmer. OffiTec schuldet die Lieferung eines mangelfreien Produkts gemäss Spezifikation, nicht die Planung, Projektierung oder Funktion der Gesamtanlage, es sei denn, OffiTec habe diese Leistungen ausdrücklich und schriftlich als eigene Vertragsleistung übernommen.</w:t>
      </w:r>
    </w:p>
    <w:p>
      <w:pPr>
        <w:spacing w:after="100"/>
        <w:jc w:val="both"/>
      </w:pPr>
      <w:r>
        <w:rPr>
          <w:rFonts w:ascii="Arial" w:cs="Arial" w:eastAsia="Arial" w:hAnsi="Arial"/>
          <w:b/>
          <w:bCs/>
          <w:sz w:val="20"/>
          <w:szCs w:val="20"/>
        </w:rPr>
        <w:t xml:space="preserve">3.2 Funktionsbeschreibung und Steuerungsliste (zwingende Beistellung). </w:t>
      </w:r>
      <w:r>
        <w:rPr>
          <w:rFonts w:ascii="Arial" w:cs="Arial" w:eastAsia="Arial" w:hAnsi="Arial"/>
          <w:sz w:val="20"/>
          <w:szCs w:val="20"/>
        </w:rPr>
        <w:t xml:space="preserve">Der Kunde stellt OffiTec innert einer Woche seit Auftragsvergabe, in jedem Fall vor Produktionsfreigabe, unaufgefordert und unentgeltlich eine vollständige Funktionsbeschreibung der Gesamtanlage sowie die Steuerungsliste zu. Die Funktionsbeschreibung umfasst mindestens: (a) hydraulisches Prinzipschema mit Einbindung der OffiTec-Maschine(n), inkl. Speicher-/Puffervolumen und Umwälzmengen; (b) Regel- und Betriebskonzept (Führungsgrössen, Sollwerte, Freigaben, Sperrzeiten, Kaskadenlogik); (c) Einsatzgrenzen und Auslegungspunkte; (d) Schnittstellen zu Fremdsystemen (GLT/GA, Modbus, Freigabekontakte); (e) Angaben zu Wasserqualität und Frostschutz (Art und Konzentration von Glykol/Sole). Die Steuerungsliste bezeichnet sämtliche von der Maschine anzusteuernden Komponenten und Signale (Ein-/Ausgänge, Feldgeräte, Pumpen, Freigaben, Alarme, Schnittstellen GLT/Modbus), sodass ersichtlich ist, was die Maschine ansteuern und wie sie funktionieren muss.</w:t>
      </w:r>
    </w:p>
    <w:p>
      <w:pPr>
        <w:spacing w:after="100"/>
        <w:jc w:val="both"/>
      </w:pPr>
      <w:r>
        <w:rPr>
          <w:rFonts w:ascii="Arial" w:cs="Arial" w:eastAsia="Arial" w:hAnsi="Arial"/>
          <w:b w:val="false"/>
          <w:bCs w:val="false"/>
          <w:sz w:val="20"/>
          <w:szCs w:val="20"/>
        </w:rPr>
        <w:t xml:space="preserve">3.3 Folgen fehlender oder mangelhafter Beistellung. Liegen Funktionsbeschreibung und/oder Steuerungsliste nicht fristgerecht oder nur unvollständig vor, so (a) produziert OffiTec die Maschine ohne weitere Rückfrage nach Werkstandard (Standard-Hardware, -Software und -Parametrierung) und startet die Produktion entsprechend; (b) trägt der Kunde die alleinige Verantwortung für die Einbindung, das Regelverhalten und das Zusammenwirken der Maschine mit der Gesamtanlage; (c) entfallen Garantie- und Gewährleistungsansprüche für Störungen, Minderleistungen und Schäden, die auf die fehlende oder fehlerhafte Abstimmung der Gesamtanlage zurückzuführen sind (vgl. Ziff. 9 und 10); (d) werden nachträgliche Abänderungen und Anpassungen auf Platz (Hardware, Verdrahtung, Software, Parametrierung) nach den jeweils gültigen Regieansätzen von OffiTec verrechnet; (e) gehen Mehraufwendungen von OffiTec (zusätzliche Einsätze, Umparametrierungen, Wartezeiten) zulasten des Kunden. OffiTec ist berechtigt, die Inbetriebnahme bis zum Vorliegen der Unterlagen zurückzustellen; dadurch verursachte Verzögerungen gehen nicht zulasten von OffiTec.</w:t>
      </w:r>
    </w:p>
    <w:p>
      <w:pPr>
        <w:spacing w:after="100"/>
        <w:jc w:val="both"/>
      </w:pPr>
      <w:r>
        <w:rPr>
          <w:rFonts w:ascii="Arial" w:cs="Arial" w:eastAsia="Arial" w:hAnsi="Arial"/>
          <w:b w:val="false"/>
          <w:bCs w:val="false"/>
          <w:sz w:val="20"/>
          <w:szCs w:val="20"/>
        </w:rPr>
        <w:t xml:space="preserve">3.4 Prüfung durch OffiTec. Eine allfällige Durchsicht oder Plausibilisierung von Kundenunterlagen durch OffiTec erfolgt als reine Gefälligkeit und begründet keine Übernahme der Planungsverantwortung und keine Haftung, ausser OffiTec habe die Prüfung als entgeltliche Ingenieurleistung schriftlich übernommen.</w:t>
      </w:r>
    </w:p>
    <w:p>
      <w:pPr>
        <w:spacing w:after="100"/>
        <w:jc w:val="both"/>
      </w:pPr>
      <w:r>
        <w:rPr>
          <w:rFonts w:ascii="Arial" w:cs="Arial" w:eastAsia="Arial" w:hAnsi="Arial"/>
          <w:b w:val="false"/>
          <w:bCs w:val="false"/>
          <w:sz w:val="20"/>
          <w:szCs w:val="20"/>
        </w:rPr>
        <w:t xml:space="preserve">3.5 Der Kunde sorgt rechtzeitig und auf eigene Kosten für: geeignete Transportwege und Aufstellflächen, bauseitige Anschlüsse (hydraulisch, elektrisch, Kondensat, Kommunikation), erforderliche Bewilligungen sowie sichere Zugänglichkeit für Montage, Inbetriebnahme und Service.</w:t>
      </w:r>
    </w:p>
    <w:p>
      <w:pPr>
        <w:shd w:fill="FFF3CD" w:val="clear"/>
        <w:spacing w:after="100"/>
        <w:jc w:val="both"/>
      </w:pPr>
      <w:r>
        <w:rPr>
          <w:rFonts w:ascii="Arial" w:cs="Arial" w:eastAsia="Arial" w:hAnsi="Arial"/>
          <w:i/>
          <w:iCs/>
          <w:color w:val="7A6000"/>
          <w:sz w:val="18"/>
          <w:szCs w:val="18"/>
        </w:rPr>
        <w:t xml:space="preserve">KOMMENTAR (intern, vor Publikation löschen): Ziff. 3 ist euer Kernschutz. Die Funktionsbeschreibung ist als Bringschuld des Kunden mit klaren Verfallsfolgen ausgestaltet. Wichtig für die Praxis: in jeder Auftragsbestätigung auf Ziff. 3.2 verweisen und das Fehlen der Funktionsbeschreibung dokumentiert mahnen – dann greift die Klausel im Streitfall sauber.</w:t>
      </w:r>
    </w:p>
    <w:p>
      <w:pPr>
        <w:pStyle w:val="Heading1"/>
        <w:spacing w:after="120" w:before="300"/>
      </w:pPr>
      <w:r>
        <w:rPr>
          <w:rFonts w:ascii="Arial" w:cs="Arial" w:eastAsia="Arial" w:hAnsi="Arial"/>
          <w:b/>
          <w:bCs/>
          <w:color w:val="1F3864"/>
          <w:sz w:val="26"/>
          <w:szCs w:val="26"/>
        </w:rPr>
        <w:t xml:space="preserve">4. Lieferung, Lieferfrist, Gefahrübergang</w:t>
      </w:r>
    </w:p>
    <w:p>
      <w:pPr>
        <w:spacing w:after="100"/>
        <w:jc w:val="both"/>
      </w:pPr>
      <w:r>
        <w:rPr>
          <w:rFonts w:ascii="Arial" w:cs="Arial" w:eastAsia="Arial" w:hAnsi="Arial"/>
          <w:b w:val="false"/>
          <w:bCs w:val="false"/>
          <w:sz w:val="20"/>
          <w:szCs w:val="20"/>
        </w:rPr>
        <w:t xml:space="preserve">4.1 Lieferung «frei Bordsteinkante». Sofern nicht anders vereinbart, erfolgt die Lieferung bis Bordsteinkante der befahrbaren Anfuhrstrasse am vereinbarten Bestimmungsort (DAP gemäss Incoterms 2020, nicht abgeladen). Ablad ab Lastwagen, Einbringen, Versetzen und Montage sind bauseits und erfolgen auf Rechnung und Gefahr des Kunden. Der Kunde stellt auf den avisierten Liefertermin geeignete Abladehilfen (Kran, Stapler) und Personal bereit; Wartezeiten des Transporteurs gehen zu seinen Lasten.</w:t>
      </w:r>
    </w:p>
    <w:p>
      <w:pPr>
        <w:spacing w:after="100"/>
        <w:jc w:val="both"/>
      </w:pPr>
      <w:r>
        <w:rPr>
          <w:rFonts w:ascii="Arial" w:cs="Arial" w:eastAsia="Arial" w:hAnsi="Arial"/>
          <w:b w:val="false"/>
          <w:bCs w:val="false"/>
          <w:sz w:val="20"/>
          <w:szCs w:val="20"/>
        </w:rPr>
        <w:t xml:space="preserve">4.2 Annahmepflicht; Zwischenlagerung. Ist die Maschine im Werk fertiggestellt, wird sie ausgeliefert; der Kunde ist zur Entgegennahme verpflichtet. Nutzen und Gefahr gehen mit Bereitstellung ab Werk bzw. gemäss vereinbartem Incoterm auf den Kunden über. Nimmt der Kunde die Lieferung nicht termingerecht entgegen oder muss die Maschine aus Gründen, die OffiTec nicht zu vertreten hat, zwischengelagert werden, erfolgen Lagerung, Handling und Versicherung auf Kosten und Gefahr des Kunden (mindestens 0,5 % des Lieferwerts pro angebrochenen Monat, mindestens CHF 250 pro Monat). Die Zahlungsfälligkeit richtet sich in diesem Fall nach dem ursprünglichen Liefertermin (Ziff. 5.3).</w:t>
      </w:r>
    </w:p>
    <w:p>
      <w:pPr>
        <w:spacing w:after="100"/>
        <w:jc w:val="both"/>
      </w:pPr>
      <w:r>
        <w:rPr>
          <w:rFonts w:ascii="Arial" w:cs="Arial" w:eastAsia="Arial" w:hAnsi="Arial"/>
          <w:b w:val="false"/>
          <w:bCs w:val="false"/>
          <w:sz w:val="20"/>
          <w:szCs w:val="20"/>
        </w:rPr>
        <w:t xml:space="preserve">4.3 Lieferfrist ab technisch bereinigter Sache. Lieferfristen (z.B. 8–10 Wochen gemäss Offerte) sind unverbindliche Richtwerte und beginnen erst ab technisch bereinigter Sache zu laufen, d.h. wenn sämtliche technischen und kommerziellen Punkte geklärt, die Schemata und Zeichnungen freigegeben, Funktionsbeschreibung und Steuerungsliste gemäss Ziff. 3.2 eingegangen und vereinbarte Anzahlungen bezahlt sind. Vorbehalten bleibt der Produktionsstart nach Werkstandard gemäss Ziff. 3.3. Die Produkte werden international transportiert (Produktion in der Türkei); exakte Liefertermine können nicht zugesichert werden. Fixtermine (Fixgeschäft) bedürfen einer ausdrücklichen schriftlichen Vereinbarung. Teillieferungen sind zulässig.</w:t>
      </w:r>
    </w:p>
    <w:p>
      <w:pPr>
        <w:spacing w:after="100"/>
        <w:jc w:val="both"/>
      </w:pPr>
      <w:r>
        <w:rPr>
          <w:rFonts w:ascii="Arial" w:cs="Arial" w:eastAsia="Arial" w:hAnsi="Arial"/>
          <w:b w:val="false"/>
          <w:bCs w:val="false"/>
          <w:sz w:val="20"/>
          <w:szCs w:val="20"/>
        </w:rPr>
        <w:t xml:space="preserve">4.4 Höhere Gewalt und Hindernisse ausserhalb des Einflussbereichs von OffiTec – namentlich Epidemien, Krieg, behördliche Massnahmen, Energie- und Rohstoffknappheit, Transportstörungen, Zoll- und Exporthindernisse sowie Betriebsstörungen bei der Herstellgesellschaft in der Türkei oder bei Unterlieferanten – verlängern die Lieferfrist angemessen. Dauert das Hindernis länger als sechs Monate, können beide Parteien bezüglich der betroffenen Leistung vom Vertrag zurücktreten; Schadenersatzansprüche sind in diesem Fall ausgeschlossen, soweit gesetzlich zulässig.</w:t>
      </w:r>
    </w:p>
    <w:p>
      <w:pPr>
        <w:spacing w:after="100"/>
        <w:jc w:val="both"/>
      </w:pPr>
      <w:r>
        <w:rPr>
          <w:rFonts w:ascii="Arial" w:cs="Arial" w:eastAsia="Arial" w:hAnsi="Arial"/>
          <w:b w:val="false"/>
          <w:bCs w:val="false"/>
          <w:sz w:val="20"/>
          <w:szCs w:val="20"/>
        </w:rPr>
        <w:t xml:space="preserve">4.5 Verspätungen; keine Folgekosten. Angegebene Liefertermine können variieren (internationaler Transport, Zoll, Vorlieferanten). Der Kunde plant bauseitige Leistungen und Termine Dritter so, dass Verschiebungen des Liefertermins keine Kosten auslösen. Ansprüche des Geschäftskunden wegen verspäteter Lieferung sind ausgeschlossen, soweit gesetzlich zulässig (vorbehalten Absicht und grobe Fahrlässigkeit); dies gilt insbesondere für Folgekosten, Bauablaufstörungen, Produktions- und Nutzungsausfall, Ersatzbeschaffungen sowie für Konventionalstrafen, Verzugsfolgen und sonstige Verpflichtungen aus Verträgen des Kunden mit Dritten (z.B. aus dem Werkvertrag des Installateurs oder Unternehmers mit der Bauherrschaft); solche Drittverpflichtungen sind OffiTec nicht überbunden und nicht überwälzbar. Ein Rücktritt wegen Verzugs setzt eine angemessene schriftliche Nachfrist voraus. Für Privatkunden gelten die gesetzlichen Verzugsregeln.</w:t>
      </w:r>
    </w:p>
    <w:p>
      <w:pPr>
        <w:pStyle w:val="Heading1"/>
        <w:spacing w:after="120" w:before="300"/>
      </w:pPr>
      <w:r>
        <w:rPr>
          <w:rFonts w:ascii="Arial" w:cs="Arial" w:eastAsia="Arial" w:hAnsi="Arial"/>
          <w:b/>
          <w:bCs/>
          <w:color w:val="1F3864"/>
          <w:sz w:val="26"/>
          <w:szCs w:val="26"/>
        </w:rPr>
        <w:t xml:space="preserve">5. Preise, Zahlungsbedingungen, Eigentumsvorbehalt</w:t>
      </w:r>
    </w:p>
    <w:p>
      <w:pPr>
        <w:spacing w:after="100"/>
        <w:jc w:val="both"/>
      </w:pPr>
      <w:r>
        <w:rPr>
          <w:rFonts w:ascii="Arial" w:cs="Arial" w:eastAsia="Arial" w:hAnsi="Arial"/>
          <w:b w:val="false"/>
          <w:bCs w:val="false"/>
          <w:sz w:val="20"/>
          <w:szCs w:val="20"/>
        </w:rPr>
        <w:t xml:space="preserve">5.1 Preise verstehen sich in Schweizer Franken (CHF), exkl. MWST, Verpackung, Transportversicherung, Abladen, Einbringen, bauseitige Leistungen und Entsorgung, sofern nicht anders vereinbart.</w:t>
      </w:r>
    </w:p>
    <w:p>
      <w:pPr>
        <w:spacing w:after="100"/>
        <w:jc w:val="both"/>
      </w:pPr>
      <w:r>
        <w:rPr>
          <w:rFonts w:ascii="Arial" w:cs="Arial" w:eastAsia="Arial" w:hAnsi="Arial"/>
          <w:b w:val="false"/>
          <w:bCs w:val="false"/>
          <w:sz w:val="20"/>
          <w:szCs w:val="20"/>
        </w:rPr>
        <w:t xml:space="preserve">5.2 Erhöhen sich zwischen Vertragsabschluss und Lieferung Material-, Energie-, Transport-, Zoll- oder Wechselkurskosten um mehr als 3 %, ist OffiTec gegenüber Geschäftskunden berechtigt, die Preise entsprechend anzupassen, wenn zwischen Vertragsabschluss und vereinbartem Liefertermin mehr als vier Monate liegen.</w:t>
      </w:r>
    </w:p>
    <w:p>
      <w:pPr>
        <w:spacing w:after="100"/>
        <w:jc w:val="both"/>
      </w:pPr>
      <w:r>
        <w:rPr>
          <w:rFonts w:ascii="Arial" w:cs="Arial" w:eastAsia="Arial" w:hAnsi="Arial"/>
          <w:b w:val="false"/>
          <w:bCs w:val="false"/>
          <w:sz w:val="20"/>
          <w:szCs w:val="20"/>
        </w:rPr>
        <w:t xml:space="preserve">5.3 Sofern nicht anders vereinbart gilt: 50 % Anzahlung bei Vertragsabschluss (Auftragsbestätigung); Restzahlung des Lieferpreises vor Auslieferung ab Werk, spätestens bei Anzeige der Versandbereitschaft. Ohne vollständige Zahlung des Lieferpreises erfolgt keine Auslieferung. Inbetriebnahme-, Service- und übrige Dienstleistungen werden nach deren Erbringung fakturiert (IBN nach erfolgter IBN). Zahlungsfrist: 30 Tage netto ab Rechnungsdatum. Bei Annahmeverzug oder Zwischenlagerung (Ziff. 4.2) wird die Restzahlung auf den ursprünglich vorgesehenen Liefertermin fällig.</w:t>
      </w:r>
    </w:p>
    <w:p>
      <w:pPr>
        <w:spacing w:after="100"/>
        <w:jc w:val="both"/>
      </w:pPr>
      <w:r>
        <w:rPr>
          <w:rFonts w:ascii="Arial" w:cs="Arial" w:eastAsia="Arial" w:hAnsi="Arial"/>
          <w:b w:val="false"/>
          <w:bCs w:val="false"/>
          <w:sz w:val="20"/>
          <w:szCs w:val="20"/>
        </w:rPr>
        <w:t xml:space="preserve">5.4 Bei Zahlungsverzug ist ein Verzugszins von 5 % geschuldet. OffiTec kann zudem weitere Lieferungen und Leistungen (inkl. Inbetriebnahme, Garantiearbeiten und Cloud Service) bis zur vollständigen Zahlung zurückbehalten.</w:t>
      </w:r>
    </w:p>
    <w:p>
      <w:pPr>
        <w:spacing w:after="100"/>
        <w:jc w:val="both"/>
      </w:pPr>
      <w:r>
        <w:rPr>
          <w:rFonts w:ascii="Arial" w:cs="Arial" w:eastAsia="Arial" w:hAnsi="Arial"/>
          <w:b w:val="false"/>
          <w:bCs w:val="false"/>
          <w:sz w:val="20"/>
          <w:szCs w:val="20"/>
        </w:rPr>
        <w:t xml:space="preserve">5.5 Die Verrechnung mit Gegenforderungen sowie die Zurückbehaltung von Zahlungen wegen behaupteter Mängel sind für Geschäftskunden ausgeschlossen, soweit die Gegenforderung nicht rechtskräftig festgestellt oder von OffiTec schriftlich anerkannt ist.</w:t>
      </w:r>
    </w:p>
    <w:p>
      <w:pPr>
        <w:spacing w:after="100"/>
        <w:jc w:val="both"/>
      </w:pPr>
      <w:r>
        <w:rPr>
          <w:rFonts w:ascii="Arial" w:cs="Arial" w:eastAsia="Arial" w:hAnsi="Arial"/>
          <w:b w:val="false"/>
          <w:bCs w:val="false"/>
          <w:sz w:val="20"/>
          <w:szCs w:val="20"/>
        </w:rPr>
        <w:t xml:space="preserve">5.6 Die gelieferten Produkte bleiben bis zur vollständigen Bezahlung Eigentum von OffiTec. Der Kunde ermächtigt OffiTec, den Eigentumsvorbehalt im Register an seinem jeweiligen Sitz/Wohnsitz eintragen zu lassen (Art. 715 ZGB), und wirkt daran mit.</w:t>
      </w:r>
    </w:p>
    <w:p>
      <w:pPr>
        <w:pStyle w:val="Heading1"/>
        <w:spacing w:after="120" w:before="300"/>
      </w:pPr>
      <w:r>
        <w:rPr>
          <w:rFonts w:ascii="Arial" w:cs="Arial" w:eastAsia="Arial" w:hAnsi="Arial"/>
          <w:b/>
          <w:bCs/>
          <w:color w:val="1F3864"/>
          <w:sz w:val="26"/>
          <w:szCs w:val="26"/>
        </w:rPr>
        <w:t xml:space="preserve">6. Installation und Inbetriebnahme</w:t>
      </w:r>
    </w:p>
    <w:p>
      <w:pPr>
        <w:spacing w:after="100"/>
        <w:jc w:val="both"/>
      </w:pPr>
      <w:r>
        <w:rPr>
          <w:rFonts w:ascii="Arial" w:cs="Arial" w:eastAsia="Arial" w:hAnsi="Arial"/>
          <w:b w:val="false"/>
          <w:bCs w:val="false"/>
          <w:sz w:val="20"/>
          <w:szCs w:val="20"/>
        </w:rPr>
        <w:t xml:space="preserve">6.1 Installation durch Dritte. Die Montage und Installation (hydraulisch, elektrisch, kältetechnisch bauseits) erfolgt – sofern nicht ausdrücklich als Leistung von OffiTec vereinbart – durch den Kunden bzw. dessen Installateur. Sie hat durch ausgewiesene Fachbetriebe zu erfolgen, nach den Montage- und Betriebsanleitungen von OffiTec, den anerkannten Regeln der Technik sowie den einschlägigen Normen und Richtlinien, namentlich SIA 384-Reihe, SWKI-Richtlinien (insb. SWKI BT 102-01 Wasserqualität), NIN/SEV, EN 378 sowie den anwendbaren Vorschriften über Kältemittel (ChemRRV). Zur fachgerechten Ausführung gehört auch die Einbringung auf der Baustelle: Transport, Anheben und Versetzen der Maschine haben in der vorgeschriebenen Lage und gemäss den Transport- und Einbringvorgaben von OffiTec zu erfolgen (keine Schräglage über das zulässige Mass, kein Kippen oder Stürzen, keine unzulässigen Stossbelastungen); ausgelöste Kipp- oder Schockindikatoren sowie Transport- und Einbringschäden sind OffiTec vor dem Anschluss der Maschine zu melden. Schäden aus unsachgemässer Einbringung sind von Gewährleistung und Garantie ausgeschlossen.</w:t>
      </w:r>
    </w:p>
    <w:p>
      <w:pPr>
        <w:spacing w:after="100"/>
        <w:jc w:val="both"/>
      </w:pPr>
      <w:r>
        <w:rPr>
          <w:rFonts w:ascii="Arial" w:cs="Arial" w:eastAsia="Arial" w:hAnsi="Arial"/>
          <w:b/>
          <w:bCs/>
          <w:sz w:val="20"/>
          <w:szCs w:val="20"/>
        </w:rPr>
        <w:t xml:space="preserve">6.2 Inbetriebnahme (IBN). </w:t>
      </w:r>
      <w:r>
        <w:rPr>
          <w:rFonts w:ascii="Arial" w:cs="Arial" w:eastAsia="Arial" w:hAnsi="Arial"/>
          <w:sz w:val="20"/>
          <w:szCs w:val="20"/>
        </w:rPr>
        <w:t xml:space="preserve">Die Erstinbetriebnahme der Maschine erfolgt zwingend durch Servicetechniker von OffiTec oder durch von OffiTec schriftlich autorisierte Partner. Ohne solche Erstinbetriebnahme entfällt die Herstellergarantie gemäss Ziff. 10. Über die IBN wird ein Protokoll erstellt; der Kunde bzw. sein Vertreter bestätigt dieses unterschriftlich. Im IBN-Protokoll festgehaltene Vorbehalte (z.B. fehlender Puffer, ungenügende Durchflussmengen, fehlende Funktionsbeschreibung) gelten als dem Kunden mitgeteilt.</w:t>
      </w:r>
    </w:p>
    <w:p>
      <w:pPr>
        <w:spacing w:after="100"/>
        <w:jc w:val="both"/>
      </w:pPr>
      <w:r>
        <w:rPr>
          <w:rFonts w:ascii="Arial" w:cs="Arial" w:eastAsia="Arial" w:hAnsi="Arial"/>
          <w:b w:val="false"/>
          <w:bCs w:val="false"/>
          <w:sz w:val="20"/>
          <w:szCs w:val="20"/>
        </w:rPr>
        <w:t xml:space="preserve">6.3 IBN-Voraussetzungen (bauseits). Vor der IBN müssen erfüllt sein: (a) Anlage montiert, gespült, gefüllt, entlüftet und druckgeprüft; (b) Wasserqualität gemäss SWKI BT 102-01 nachgewiesen; (c) hydraulische Einbindung gemäss freigegebenem Schema, inkl. des erforderlichen Speicher-/Puffervolumens und der Mindestdurchflussmengen; (d) elektrische Anschlüsse fertiggestellt und geprüft (inkl. Drehfeld, Absicherung, Netzqualität); (e) Wärme-/Kälteabnahme möglich; (f) Funktionsbeschreibung gemäss Ziff. 3.2 vorhanden; (g) freier und sicherer Zugang. Kann die Inbetriebnahme beim vereinbarten Termin aus bauseitigen Gründen nicht, nicht vollständig oder nicht sauber durchgeführt werden, wird der Einsatz vollumfänglich verrechnet, und jeder erforderliche weitere Einsatz wird erneut nach Aufwand zu den jeweils gültigen Regieansätzen in Rechnung gestellt (inkl. Wegzeit und Spesen).</w:t>
      </w:r>
    </w:p>
    <w:p>
      <w:pPr>
        <w:spacing w:after="100"/>
        <w:jc w:val="both"/>
      </w:pPr>
      <w:r>
        <w:rPr>
          <w:rFonts w:ascii="Arial" w:cs="Arial" w:eastAsia="Arial" w:hAnsi="Arial"/>
          <w:b w:val="false"/>
          <w:bCs w:val="false"/>
          <w:sz w:val="20"/>
          <w:szCs w:val="20"/>
        </w:rPr>
        <w:t xml:space="preserve">6.4 Die IBN dient der Prüfung der Maschinenfunktion an der bereitgestellten Anlage. Sie stellt keine Abnahme der Gesamtanlage und keine Prüfung oder Genehmigung der bauseitigen Planung und Installation dar.</w:t>
      </w:r>
    </w:p>
    <w:p>
      <w:pPr>
        <w:spacing w:after="100"/>
        <w:jc w:val="both"/>
      </w:pPr>
      <w:r>
        <w:rPr>
          <w:rFonts w:ascii="Arial" w:cs="Arial" w:eastAsia="Arial" w:hAnsi="Arial"/>
          <w:b w:val="false"/>
          <w:bCs w:val="false"/>
          <w:sz w:val="20"/>
          <w:szCs w:val="20"/>
        </w:rPr>
        <w:t xml:space="preserve">6.5 Frostschutz / Glykol. Bei Anlagen mit Glykol- oder Solebetrieb sowie bei frostgefährdeten Kreisläufen ist bauseits sicherzustellen, dass Art und Konzentration des Frostschutzmittels dauerhaft den Vorgaben von OffiTec bzw. der technischen Dokumentation entsprechen. Die Konzentration ist bei der IBN nachzuweisen (Messprotokoll) und danach periodisch, mindestens im Rahmen der Wartung, zu prüfen; Nachfüllungen dürfen nur mit geeignetem, vorkonfektioniertem Gemisch erfolgen. Schäden infolge ungenügender oder falscher Frostschutzkonzentration – namentlich Vereisung und Frostbruch von Platten- und anderen Wärmetauschern – sind von Gewährleistung und Garantie ausgeschlossen.</w:t>
      </w:r>
    </w:p>
    <w:p>
      <w:pPr>
        <w:pStyle w:val="Heading1"/>
        <w:spacing w:after="120" w:before="300"/>
      </w:pPr>
      <w:r>
        <w:rPr>
          <w:rFonts w:ascii="Arial" w:cs="Arial" w:eastAsia="Arial" w:hAnsi="Arial"/>
          <w:b/>
          <w:bCs/>
          <w:color w:val="1F3864"/>
          <w:sz w:val="26"/>
          <w:szCs w:val="26"/>
        </w:rPr>
        <w:t xml:space="preserve">7. Prüfung und Mängelrüge</w:t>
      </w:r>
    </w:p>
    <w:p>
      <w:pPr>
        <w:spacing w:after="100"/>
        <w:jc w:val="both"/>
      </w:pPr>
      <w:r>
        <w:rPr>
          <w:rFonts w:ascii="Arial" w:cs="Arial" w:eastAsia="Arial" w:hAnsi="Arial"/>
          <w:b w:val="false"/>
          <w:bCs w:val="false"/>
          <w:sz w:val="20"/>
          <w:szCs w:val="20"/>
        </w:rPr>
        <w:t xml:space="preserve">7.1 Der Kunde prüft die Lieferung bei Erhalt unverzüglich auf Transportschäden, Vollständigkeit und offensichtliche Mängel. Transportschäden sind sofort gegenüber dem Frachtführer zu dokumentieren und OffiTec innert 3 Arbeitstagen schriftlich anzuzeigen.</w:t>
      </w:r>
    </w:p>
    <w:p>
      <w:pPr>
        <w:spacing w:after="100"/>
        <w:jc w:val="both"/>
      </w:pPr>
      <w:r>
        <w:rPr>
          <w:rFonts w:ascii="Arial" w:cs="Arial" w:eastAsia="Arial" w:hAnsi="Arial"/>
          <w:b w:val="false"/>
          <w:bCs w:val="false"/>
          <w:sz w:val="20"/>
          <w:szCs w:val="20"/>
        </w:rPr>
        <w:t xml:space="preserve">7.2 Rügefristen. Mängel sind OffiTec unverzüglich nach Entdeckung schriftlich und substantiiert (Beschreibung, Betriebsdaten, Fotos) zu rügen, für Geschäftskunden spätestens innert 20 Tagen seit Entdeckung. Für Produkte, die bestimmungsgemäss in ein Bauwerk integriert werden, gilt anstelle dessen die zwingende gesetzliche Rügefrist von 60 Tagen seit Entdeckung des Mangels; die Frist von 20 Tagen gilt insoweit als blosse Obliegenheit zur beförderlichen Meldung. Bei nicht rechtzeitiger Rüge gilt die Lieferung bezüglich des betreffenden Mangels als genehmigt, soweit gesetzlich zulässig. Der Kunde ist gehalten, die Maschine bereits ab Anlieferung zu prüfen (Ziff. 7.1) und erkennbare Mängel nicht erst bei der Montage oder IBN zu melden.</w:t>
      </w:r>
    </w:p>
    <w:p>
      <w:pPr>
        <w:spacing w:after="100"/>
        <w:jc w:val="both"/>
      </w:pPr>
      <w:r>
        <w:rPr>
          <w:rFonts w:ascii="Arial" w:cs="Arial" w:eastAsia="Arial" w:hAnsi="Arial"/>
          <w:b w:val="false"/>
          <w:bCs w:val="false"/>
          <w:sz w:val="20"/>
          <w:szCs w:val="20"/>
        </w:rPr>
        <w:t xml:space="preserve">7.3 Der Kunde stellt sicher, dass an der gerügten Maschine bis zur Prüfung durch OffiTec keine Eingriffe Dritter erfolgen; andernfalls entfallen Gewährleistung und Garantie für den betreffenden Mangel, sofern der Eingriff die Feststellung der Ursache verunmöglicht oder den Schaden vergrössert hat. Notmassnahmen zur Schadensminderung bleiben vorbehalten und sind zu dokumentieren.</w:t>
      </w:r>
    </w:p>
    <w:p>
      <w:pPr>
        <w:shd w:fill="FFF3CD" w:val="clear"/>
        <w:spacing w:after="100"/>
        <w:jc w:val="both"/>
      </w:pPr>
      <w:r>
        <w:rPr>
          <w:rFonts w:ascii="Arial" w:cs="Arial" w:eastAsia="Arial" w:hAnsi="Arial"/>
          <w:i/>
          <w:iCs/>
          <w:color w:val="7A6000"/>
          <w:sz w:val="18"/>
          <w:szCs w:val="18"/>
        </w:rPr>
        <w:t xml:space="preserve">KOMMENTAR (intern, vor Publikation löschen): Gewünscht waren 20 Tage. Achtung: Seit 1.1.2026 gilt für Sachen, die bestimmungsgemäss in ein Bauwerk integriert werden (Wärmepumpen, Kältemaschinen!), von Gesetzes wegen eine NICHT verkürzbare Rügefrist von 60 Tagen ab Entdeckung. Eine reine 20-Tage-Klausel wäre für eure Maschinen nichtig und würde die ganze Ziffer angreifbar machen. Lösung hier: 20 Tage für alles, was nicht integriert wird (z.B. lose Ersatzteile, Handelsware), 60 Tage zwingend für integrierte Produkte, kombiniert mit der Pflicht, schon ab Anlieferung zu prüfen.</w:t>
      </w:r>
    </w:p>
    <w:p>
      <w:pPr>
        <w:pStyle w:val="Heading1"/>
        <w:spacing w:after="120" w:before="300"/>
      </w:pPr>
      <w:r>
        <w:rPr>
          <w:rFonts w:ascii="Arial" w:cs="Arial" w:eastAsia="Arial" w:hAnsi="Arial"/>
          <w:b/>
          <w:bCs/>
          <w:color w:val="1F3864"/>
          <w:sz w:val="26"/>
          <w:szCs w:val="26"/>
        </w:rPr>
        <w:t xml:space="preserve">8. Gewährleistung (gesetzliche Mängelrechte)</w:t>
      </w:r>
    </w:p>
    <w:p>
      <w:pPr>
        <w:spacing w:after="100"/>
        <w:jc w:val="both"/>
      </w:pPr>
      <w:r>
        <w:rPr>
          <w:rFonts w:ascii="Arial" w:cs="Arial" w:eastAsia="Arial" w:hAnsi="Arial"/>
          <w:b w:val="false"/>
          <w:bCs w:val="false"/>
          <w:sz w:val="20"/>
          <w:szCs w:val="20"/>
        </w:rPr>
        <w:t xml:space="preserve">8.1 OffiTec gewährleistet, dass die Produkte im Zeitpunkt des Gefahrübergangs der vereinbarten Spezifikation entsprechen und frei von Material- und Fabrikationsfehlern sind. Massgebend ist ausschliesslich die vertragliche Spezifikation; öffentliche Äusserungen, Prospektangaben und Richtwerte stellen keine Zusicherung dar, soweit sie nicht ausdrücklich in den Vertrag übernommen wurden.</w:t>
      </w:r>
    </w:p>
    <w:p>
      <w:pPr>
        <w:spacing w:after="100"/>
        <w:jc w:val="both"/>
      </w:pPr>
      <w:r>
        <w:rPr>
          <w:rFonts w:ascii="Arial" w:cs="Arial" w:eastAsia="Arial" w:hAnsi="Arial"/>
          <w:b w:val="false"/>
          <w:bCs w:val="false"/>
          <w:sz w:val="20"/>
          <w:szCs w:val="20"/>
        </w:rPr>
        <w:t xml:space="preserve">8.2 Verjährung. Ansprüche aus Gewährleistung verjähren bei beweglichen Sachen zwei Jahre nach Ablieferung (Art. 210 Abs. 1 OR). Für Produkte, die bestimmungsgemäss in ein unbewegliches Werk integriert wurden und dessen Mangelhaftigkeit verursacht haben, gilt die gesetzliche Frist von fünf Jahren (Art. 210 Abs. 2 OR).</w:t>
      </w:r>
    </w:p>
    <w:p>
      <w:pPr>
        <w:spacing w:after="100"/>
        <w:jc w:val="both"/>
      </w:pPr>
      <w:r>
        <w:rPr>
          <w:rFonts w:ascii="Arial" w:cs="Arial" w:eastAsia="Arial" w:hAnsi="Arial"/>
          <w:b w:val="false"/>
          <w:bCs w:val="false"/>
          <w:sz w:val="20"/>
          <w:szCs w:val="20"/>
        </w:rPr>
        <w:t xml:space="preserve">8.3 Nachbesserung zuerst. Bei begründeten, rechtzeitig gerügten Mängeln hat OffiTec zunächst das Recht und die Pflicht zur Nachbesserung (Reparatur oder Ersatz mangelhafter Teile) innert angemessener Frist. Ersetzte Teile werden Eigentum von OffiTec. Erst wenn die Nachbesserung fehlschlägt oder verweigert wird, stehen dem Kunden die weiteren gesetzlichen Mängelrechte zu. Für Geschäftskunden sind Wandelung und Minderung ausgeschlossen, soweit die Nachbesserung möglich und zumutbar ist und gesetzlich nichts anderes zwingend gilt; das zwingende Nachbesserungsrecht des Kunden bei Bauwerken bleibt vorbehalten.</w:t>
      </w:r>
    </w:p>
    <w:p>
      <w:pPr>
        <w:spacing w:after="100"/>
        <w:jc w:val="both"/>
      </w:pPr>
      <w:r>
        <w:rPr>
          <w:rFonts w:ascii="Arial" w:cs="Arial" w:eastAsia="Arial" w:hAnsi="Arial"/>
          <w:b/>
          <w:bCs/>
          <w:sz w:val="20"/>
          <w:szCs w:val="20"/>
        </w:rPr>
        <w:t xml:space="preserve">8.4 Anerkennung erst nach interner Prüfung. </w:t>
      </w:r>
      <w:r>
        <w:rPr>
          <w:rFonts w:ascii="Arial" w:cs="Arial" w:eastAsia="Arial" w:hAnsi="Arial"/>
          <w:sz w:val="20"/>
          <w:szCs w:val="20"/>
        </w:rPr>
        <w:t xml:space="preserve">Ob ein Gewährleistungs- oder Garantiefall vorliegt, wird erst nach technischer Prüfung durch OffiTec entschieden, bei Bedarf gestützt auf den Befund des Herstellwerks oder eines Labors (inkl. Untersuchung ausgebauter Komponenten). Der Kunde stellt beanstandete Teile unverändert sicher, gewährt Zugang zur Maschine und zu den Betriebsdaten und sendet Teile auf Verlangen und Kosten von OffiTec ein. Mündliche Aussagen von Monteuren oder Dritten vor Abschluss der Prüfung sind unverbindlich und stellen keine Anerkennung dar. Bis zum Vorliegen des Prüfergebnisses gelieferte Ersatzteile und geleistete Einsätze werden regulär verrechnet und bei anerkanntem Gewährleistungs- oder Garantiefall gutgeschrieben.</w:t>
      </w:r>
    </w:p>
    <w:p>
      <w:pPr>
        <w:spacing w:after="100"/>
        <w:jc w:val="both"/>
      </w:pPr>
      <w:r>
        <w:rPr>
          <w:rFonts w:ascii="Arial" w:cs="Arial" w:eastAsia="Arial" w:hAnsi="Arial"/>
          <w:b w:val="false"/>
          <w:bCs w:val="false"/>
          <w:sz w:val="20"/>
          <w:szCs w:val="20"/>
        </w:rPr>
        <w:t xml:space="preserve">8.5 Kosten. Die Nachbesserung umfasst Material und Arbeitszeit von OffiTec am Standort der Maschine in der Schweiz bzw. im Fürstentum Liechtenstein. Nicht umfasst sind – gegenüber Geschäftskunden – bauseitige Leistungen wie Aus- und Einbau in die Anlage, Zugänglichmachung (Gerüste, Krane, Demontagen), Kältemittel- und Wasserverluste der Anlage, Betriebsunterbrüche sowie sämtliche Kosten für Ersatz- und Mietgeräte und Provisorien (z.B. Mietkälte, Notkühlung, provisorische Wärmeerzeugung, Ersatzenergie). Ein Ausfall der Maschine begründet – über die Nachbesserung hinaus – keine weiteren Ansprüche gegen OffiTec, soweit gesetzlich zulässig (vgl. Ziff. 10).</w:t>
      </w:r>
    </w:p>
    <w:p>
      <w:pPr>
        <w:spacing w:after="100"/>
        <w:jc w:val="both"/>
      </w:pPr>
      <w:r>
        <w:rPr>
          <w:rFonts w:ascii="Arial" w:cs="Arial" w:eastAsia="Arial" w:hAnsi="Arial"/>
          <w:b w:val="false"/>
          <w:bCs w:val="false"/>
          <w:sz w:val="20"/>
          <w:szCs w:val="20"/>
        </w:rPr>
        <w:t xml:space="preserve">8.6 Von der Gewährleistung ausgeschlossen sind Mängel und Schäden, die zurückzuführen sind auf: normale Abnutzung und Verschleissteile; unsachgemässe Lagerung, Transport oder Montage durch Dritte; Nichtbeachtung von Montage- und Betriebsanleitungen; Betrieb ausserhalb der Einsatzgrenzen; ungeeignete Betriebsmittel (Wasserqualität, Frostschutz, Energieversorgung); fehlende oder fehlerhafte Planung und hydraulische Einbindung (insb. ungenügendes Anlagen-/Puffervolumen und daraus folgendes Takten, vgl. Ziff. 10.4); Eingriffe, Reparaturen oder Änderungen durch nicht autorisierte Dritte; sowie unterlassene Wartung.</w:t>
      </w:r>
    </w:p>
    <w:p>
      <w:pPr>
        <w:spacing w:after="100"/>
        <w:jc w:val="both"/>
      </w:pPr>
      <w:r>
        <w:rPr>
          <w:rFonts w:ascii="Arial" w:cs="Arial" w:eastAsia="Arial" w:hAnsi="Arial"/>
          <w:b w:val="false"/>
          <w:bCs w:val="false"/>
          <w:sz w:val="20"/>
          <w:szCs w:val="20"/>
        </w:rPr>
        <w:t xml:space="preserve">8.7 Für Privatkunden gelten die zwingenden gesetzlichen Gewährleistungsrechte; die Ziff. 8.3–8.6 gelten für sie nur, soweit gesetzlich zulässig (insb. Art. 199 und 210 Abs. 4 OR).</w:t>
      </w:r>
    </w:p>
    <w:p>
      <w:pPr>
        <w:pStyle w:val="Heading1"/>
        <w:spacing w:after="120" w:before="300"/>
      </w:pPr>
      <w:r>
        <w:rPr>
          <w:rFonts w:ascii="Arial" w:cs="Arial" w:eastAsia="Arial" w:hAnsi="Arial"/>
          <w:b/>
          <w:bCs/>
          <w:color w:val="1F3864"/>
          <w:sz w:val="26"/>
          <w:szCs w:val="26"/>
        </w:rPr>
        <w:t xml:space="preserve">9. Herstellergarantie (vertragliche Garantie)</w:t>
      </w:r>
    </w:p>
    <w:p>
      <w:pPr>
        <w:spacing w:after="100"/>
        <w:jc w:val="both"/>
      </w:pPr>
      <w:r>
        <w:rPr>
          <w:rFonts w:ascii="Arial" w:cs="Arial" w:eastAsia="Arial" w:hAnsi="Arial"/>
          <w:b w:val="false"/>
          <w:bCs w:val="false"/>
          <w:sz w:val="20"/>
          <w:szCs w:val="20"/>
        </w:rPr>
        <w:t xml:space="preserve">9.1 Zusätzlich zur gesetzlichen Gewährleistung leistet OffiTec eine Herstellergarantie von 24 Monaten ab Lieferung (Gefahrübergang) («Garantiefrist»). Eine spätere Inbetriebnahme verlängert die Garantiefrist nicht. Mit Abschluss eines OffiTec-Wartungsvertrags verlängert sich die Garantie auf [z.B. 5 Jahre auf den Verdichter], gemäss separater Garantieurkunde.</w:t>
      </w:r>
    </w:p>
    <w:p>
      <w:pPr>
        <w:spacing w:after="100"/>
        <w:jc w:val="both"/>
      </w:pPr>
      <w:r>
        <w:rPr>
          <w:rFonts w:ascii="Arial" w:cs="Arial" w:eastAsia="Arial" w:hAnsi="Arial"/>
          <w:b w:val="false"/>
          <w:bCs w:val="false"/>
          <w:sz w:val="20"/>
          <w:szCs w:val="20"/>
        </w:rPr>
        <w:t xml:space="preserve">9.2 Die Garantie umfasst die kostenlose Reparatur oder den Ersatz von Teilen, die infolge nachgewiesener Material- oder Fabrikationsfehler ausfallen. Weitergehende Ansprüche aus der Garantie – insbesondere Ersatz von Folgeschäden, Betriebsausfall oder Aufwendungen Dritter – bestehen nicht. Die gesetzlichen Rechte gemäss Ziff. 8 bleiben unberührt.</w:t>
      </w:r>
    </w:p>
    <w:p>
      <w:pPr>
        <w:spacing w:after="100"/>
        <w:jc w:val="both"/>
      </w:pPr>
      <w:r>
        <w:rPr>
          <w:rFonts w:ascii="Arial" w:cs="Arial" w:eastAsia="Arial" w:hAnsi="Arial"/>
          <w:b/>
          <w:bCs/>
          <w:sz w:val="20"/>
          <w:szCs w:val="20"/>
        </w:rPr>
        <w:t xml:space="preserve">9.3 Garantievoraussetzungen (kumulativ). </w:t>
      </w:r>
      <w:r>
        <w:rPr>
          <w:rFonts w:ascii="Arial" w:cs="Arial" w:eastAsia="Arial" w:hAnsi="Arial"/>
          <w:sz w:val="20"/>
          <w:szCs w:val="20"/>
        </w:rPr>
        <w:t xml:space="preserve">Die Garantie gilt nur, wenn sämtliche der folgenden Voraussetzungen erfüllt sind:</w:t>
      </w:r>
    </w:p>
    <w:p>
      <w:pPr>
        <w:pStyle w:val="ListParagraph"/>
        <w:numPr>
          <w:ilvl w:val="0"/>
          <w:numId w:val="2"/>
        </w:numPr>
        <w:spacing w:after="60"/>
        <w:jc w:val="both"/>
      </w:pPr>
      <w:r>
        <w:rPr>
          <w:rFonts w:ascii="Arial" w:cs="Arial" w:eastAsia="Arial" w:hAnsi="Arial"/>
          <w:b/>
          <w:bCs/>
          <w:sz w:val="20"/>
          <w:szCs w:val="20"/>
        </w:rPr>
        <w:t xml:space="preserve">a) </w:t>
      </w:r>
      <w:r>
        <w:rPr>
          <w:rFonts w:ascii="Arial" w:cs="Arial" w:eastAsia="Arial" w:hAnsi="Arial"/>
          <w:sz w:val="20"/>
          <w:szCs w:val="20"/>
        </w:rPr>
        <w:t xml:space="preserve">Transport, Lagerung und Montage gemäss den Vorgaben von OffiTec;</w:t>
      </w:r>
    </w:p>
    <w:p>
      <w:pPr>
        <w:pStyle w:val="ListParagraph"/>
        <w:numPr>
          <w:ilvl w:val="0"/>
          <w:numId w:val="2"/>
        </w:numPr>
        <w:spacing w:after="60"/>
        <w:jc w:val="both"/>
      </w:pPr>
      <w:r>
        <w:rPr>
          <w:rFonts w:ascii="Arial" w:cs="Arial" w:eastAsia="Arial" w:hAnsi="Arial"/>
          <w:b/>
          <w:bCs/>
          <w:sz w:val="20"/>
          <w:szCs w:val="20"/>
        </w:rPr>
        <w:t xml:space="preserve">b) </w:t>
      </w:r>
      <w:r>
        <w:rPr>
          <w:rFonts w:ascii="Arial" w:cs="Arial" w:eastAsia="Arial" w:hAnsi="Arial"/>
          <w:sz w:val="20"/>
          <w:szCs w:val="20"/>
        </w:rPr>
        <w:t xml:space="preserve">Installation durch einen ausgewiesenen Fachbetrieb nach Montageanleitung, anerkannten Regeln der Technik und den einschlägigen Normen (insb. SIA 384-Reihe, SWKI-Richtlinien, NIN, EN 378);</w:t>
      </w:r>
    </w:p>
    <w:p>
      <w:pPr>
        <w:pStyle w:val="ListParagraph"/>
        <w:numPr>
          <w:ilvl w:val="0"/>
          <w:numId w:val="2"/>
        </w:numPr>
        <w:spacing w:after="60"/>
        <w:jc w:val="both"/>
      </w:pPr>
      <w:r>
        <w:rPr>
          <w:rFonts w:ascii="Arial" w:cs="Arial" w:eastAsia="Arial" w:hAnsi="Arial"/>
          <w:b/>
          <w:bCs/>
          <w:sz w:val="20"/>
          <w:szCs w:val="20"/>
        </w:rPr>
        <w:t xml:space="preserve">c) </w:t>
      </w:r>
      <w:r>
        <w:rPr>
          <w:rFonts w:ascii="Arial" w:cs="Arial" w:eastAsia="Arial" w:hAnsi="Arial"/>
          <w:sz w:val="20"/>
          <w:szCs w:val="20"/>
        </w:rPr>
        <w:t xml:space="preserve">hydraulische Einbindung gemäss dem von OffiTec freigegebenen Schema, einschliesslich des erforderlichen Speicher-/Puffervolumens bzw. Mindest-Anlagevolumens und der Mindestdurchflussmengen gemäss technischer Dokumentation, sodass die Mindestlaufzeiten der Verdichter eingehalten und die maximal zulässigen Schaltspiele pro Stunde nicht überschritten werden;</w:t>
      </w:r>
    </w:p>
    <w:p>
      <w:pPr>
        <w:pStyle w:val="ListParagraph"/>
        <w:numPr>
          <w:ilvl w:val="0"/>
          <w:numId w:val="2"/>
        </w:numPr>
        <w:spacing w:after="60"/>
        <w:jc w:val="both"/>
      </w:pPr>
      <w:r>
        <w:rPr>
          <w:rFonts w:ascii="Arial" w:cs="Arial" w:eastAsia="Arial" w:hAnsi="Arial"/>
          <w:b/>
          <w:bCs/>
          <w:sz w:val="20"/>
          <w:szCs w:val="20"/>
        </w:rPr>
        <w:t xml:space="preserve">d) </w:t>
      </w:r>
      <w:r>
        <w:rPr>
          <w:rFonts w:ascii="Arial" w:cs="Arial" w:eastAsia="Arial" w:hAnsi="Arial"/>
          <w:sz w:val="20"/>
          <w:szCs w:val="20"/>
        </w:rPr>
        <w:t xml:space="preserve">Wasserqualität gemäss SWKI BT 102-01 (Nachweis durch Füllwasserprotokoll);</w:t>
      </w:r>
    </w:p>
    <w:p>
      <w:pPr>
        <w:pStyle w:val="ListParagraph"/>
        <w:numPr>
          <w:ilvl w:val="0"/>
          <w:numId w:val="2"/>
        </w:numPr>
        <w:spacing w:after="60"/>
        <w:jc w:val="both"/>
      </w:pPr>
      <w:r>
        <w:rPr>
          <w:rFonts w:ascii="Arial" w:cs="Arial" w:eastAsia="Arial" w:hAnsi="Arial"/>
          <w:b/>
          <w:bCs/>
          <w:sz w:val="20"/>
          <w:szCs w:val="20"/>
        </w:rPr>
        <w:t xml:space="preserve">e) </w:t>
      </w:r>
      <w:r>
        <w:rPr>
          <w:rFonts w:ascii="Arial" w:cs="Arial" w:eastAsia="Arial" w:hAnsi="Arial"/>
          <w:sz w:val="20"/>
          <w:szCs w:val="20"/>
        </w:rPr>
        <w:t xml:space="preserve">elektrischer Anschluss gemäss NIN und Herstellervorgaben (inkl. Drehfeld, Absicherung, Spannungsqualität, Sanftanlauf/FU gemäss Spezifikation);</w:t>
      </w:r>
    </w:p>
    <w:p>
      <w:pPr>
        <w:pStyle w:val="ListParagraph"/>
        <w:numPr>
          <w:ilvl w:val="0"/>
          <w:numId w:val="2"/>
        </w:numPr>
        <w:spacing w:after="60"/>
        <w:jc w:val="both"/>
      </w:pPr>
      <w:r>
        <w:rPr>
          <w:rFonts w:ascii="Arial" w:cs="Arial" w:eastAsia="Arial" w:hAnsi="Arial"/>
          <w:b/>
          <w:bCs/>
          <w:sz w:val="20"/>
          <w:szCs w:val="20"/>
        </w:rPr>
        <w:t xml:space="preserve">f) </w:t>
      </w:r>
      <w:r>
        <w:rPr>
          <w:rFonts w:ascii="Arial" w:cs="Arial" w:eastAsia="Arial" w:hAnsi="Arial"/>
          <w:sz w:val="20"/>
          <w:szCs w:val="20"/>
        </w:rPr>
        <w:t xml:space="preserve">Erstinbetriebnahme durch OffiTec oder einen autorisierten Partner mit unterzeichnetem IBN-Protokoll (Ziff. 6.2);</w:t>
      </w:r>
    </w:p>
    <w:p>
      <w:pPr>
        <w:pStyle w:val="ListParagraph"/>
        <w:numPr>
          <w:ilvl w:val="0"/>
          <w:numId w:val="2"/>
        </w:numPr>
        <w:spacing w:after="60"/>
        <w:jc w:val="both"/>
      </w:pPr>
      <w:r>
        <w:rPr>
          <w:rFonts w:ascii="Arial" w:cs="Arial" w:eastAsia="Arial" w:hAnsi="Arial"/>
          <w:b/>
          <w:bCs/>
          <w:sz w:val="20"/>
          <w:szCs w:val="20"/>
        </w:rPr>
        <w:t xml:space="preserve">g) </w:t>
      </w:r>
      <w:r>
        <w:rPr>
          <w:rFonts w:ascii="Arial" w:cs="Arial" w:eastAsia="Arial" w:hAnsi="Arial"/>
          <w:sz w:val="20"/>
          <w:szCs w:val="20"/>
        </w:rPr>
        <w:t xml:space="preserve">Vorliegen der Funktionsbeschreibung gemäss Ziff. 3.2;</w:t>
      </w:r>
    </w:p>
    <w:p>
      <w:pPr>
        <w:pStyle w:val="ListParagraph"/>
        <w:numPr>
          <w:ilvl w:val="0"/>
          <w:numId w:val="2"/>
        </w:numPr>
        <w:spacing w:after="60"/>
        <w:jc w:val="both"/>
      </w:pPr>
      <w:r>
        <w:rPr>
          <w:rFonts w:ascii="Arial" w:cs="Arial" w:eastAsia="Arial" w:hAnsi="Arial"/>
          <w:b/>
          <w:bCs/>
          <w:sz w:val="20"/>
          <w:szCs w:val="20"/>
        </w:rPr>
        <w:t xml:space="preserve">h) </w:t>
      </w:r>
      <w:r>
        <w:rPr>
          <w:rFonts w:ascii="Arial" w:cs="Arial" w:eastAsia="Arial" w:hAnsi="Arial"/>
          <w:sz w:val="20"/>
          <w:szCs w:val="20"/>
        </w:rPr>
        <w:t xml:space="preserve">Betrieb innerhalb der spezifizierten Einsatzgrenzen und bestimmungsgemässe Verwendung;</w:t>
      </w:r>
    </w:p>
    <w:p>
      <w:pPr>
        <w:pStyle w:val="ListParagraph"/>
        <w:numPr>
          <w:ilvl w:val="0"/>
          <w:numId w:val="2"/>
        </w:numPr>
        <w:spacing w:after="60"/>
        <w:jc w:val="both"/>
      </w:pPr>
      <w:r>
        <w:rPr>
          <w:rFonts w:ascii="Arial" w:cs="Arial" w:eastAsia="Arial" w:hAnsi="Arial"/>
          <w:b/>
          <w:bCs/>
          <w:sz w:val="20"/>
          <w:szCs w:val="20"/>
        </w:rPr>
        <w:t xml:space="preserve">i) </w:t>
      </w:r>
      <w:r>
        <w:rPr>
          <w:rFonts w:ascii="Arial" w:cs="Arial" w:eastAsia="Arial" w:hAnsi="Arial"/>
          <w:sz w:val="20"/>
          <w:szCs w:val="20"/>
        </w:rPr>
        <w:t xml:space="preserve">Wartung gemäss Wartungsvorgaben von OffiTec durch OffiTec oder autorisierte Partner, unter Verwendung von Original-Ersatzteilen;</w:t>
      </w:r>
    </w:p>
    <w:p>
      <w:pPr>
        <w:pStyle w:val="ListParagraph"/>
        <w:numPr>
          <w:ilvl w:val="0"/>
          <w:numId w:val="2"/>
        </w:numPr>
        <w:spacing w:after="60"/>
        <w:jc w:val="both"/>
      </w:pPr>
      <w:r>
        <w:rPr>
          <w:rFonts w:ascii="Arial" w:cs="Arial" w:eastAsia="Arial" w:hAnsi="Arial"/>
          <w:b/>
          <w:bCs/>
          <w:sz w:val="20"/>
          <w:szCs w:val="20"/>
        </w:rPr>
        <w:t xml:space="preserve">j) </w:t>
      </w:r>
      <w:r>
        <w:rPr>
          <w:rFonts w:ascii="Arial" w:cs="Arial" w:eastAsia="Arial" w:hAnsi="Arial"/>
          <w:sz w:val="20"/>
          <w:szCs w:val="20"/>
        </w:rPr>
        <w:t xml:space="preserve">keine Eingriffe, Änderungen oder Reparaturen durch nicht autorisierte Dritte, einschliesslich Eingriffe in den Kältekreis durch Personen ohne die erforderliche Fachbewilligung (ChemRRV);</w:t>
      </w:r>
    </w:p>
    <w:p>
      <w:pPr>
        <w:pStyle w:val="ListParagraph"/>
        <w:numPr>
          <w:ilvl w:val="0"/>
          <w:numId w:val="2"/>
        </w:numPr>
        <w:spacing w:after="60"/>
        <w:jc w:val="both"/>
      </w:pPr>
      <w:r>
        <w:rPr>
          <w:rFonts w:ascii="Arial" w:cs="Arial" w:eastAsia="Arial" w:hAnsi="Arial"/>
          <w:b/>
          <w:bCs/>
          <w:sz w:val="20"/>
          <w:szCs w:val="20"/>
        </w:rPr>
        <w:t xml:space="preserve">k) </w:t>
      </w:r>
      <w:r>
        <w:rPr>
          <w:rFonts w:ascii="Arial" w:cs="Arial" w:eastAsia="Arial" w:hAnsi="Arial"/>
          <w:sz w:val="20"/>
          <w:szCs w:val="20"/>
        </w:rPr>
        <w:t xml:space="preserve">vollständige Bezahlung der Lieferung gemäss Vertrag.</w:t>
      </w:r>
    </w:p>
    <w:p>
      <w:pPr>
        <w:spacing w:after="100"/>
        <w:jc w:val="both"/>
      </w:pPr>
      <w:r>
        <w:rPr>
          <w:rFonts w:ascii="Arial" w:cs="Arial" w:eastAsia="Arial" w:hAnsi="Arial"/>
          <w:b/>
          <w:bCs/>
          <w:sz w:val="20"/>
          <w:szCs w:val="20"/>
        </w:rPr>
        <w:t xml:space="preserve">9.4 Garantieausschlüsse. </w:t>
      </w:r>
      <w:r>
        <w:rPr>
          <w:rFonts w:ascii="Arial" w:cs="Arial" w:eastAsia="Arial" w:hAnsi="Arial"/>
          <w:sz w:val="20"/>
          <w:szCs w:val="20"/>
        </w:rPr>
        <w:t xml:space="preserve">Nicht unter die Garantie fallen insbesondere:</w:t>
      </w:r>
    </w:p>
    <w:p>
      <w:pPr>
        <w:pStyle w:val="ListParagraph"/>
        <w:numPr>
          <w:ilvl w:val="0"/>
          <w:numId w:val="2"/>
        </w:numPr>
        <w:spacing w:after="60"/>
        <w:jc w:val="both"/>
      </w:pPr>
      <w:r>
        <w:rPr>
          <w:rFonts w:ascii="Arial" w:cs="Arial" w:eastAsia="Arial" w:hAnsi="Arial"/>
          <w:sz w:val="20"/>
          <w:szCs w:val="20"/>
        </w:rPr>
        <w:t xml:space="preserve">Schäden und vorzeitiger Verschleiss infolge Kurztaktens der Maschine, wenn dieses auf ungenügendes Anlagen-/Puffervolumen, fehlende oder nicht eingebundene Pufferspeicher, zu geringe Abnahme, fehlerhafte Hydraulik oder bauseitige Regelung zurückzuführen ist;</w:t>
      </w:r>
    </w:p>
    <w:p>
      <w:pPr>
        <w:pStyle w:val="ListParagraph"/>
        <w:numPr>
          <w:ilvl w:val="0"/>
          <w:numId w:val="2"/>
        </w:numPr>
        <w:spacing w:after="60"/>
        <w:jc w:val="both"/>
      </w:pPr>
      <w:r>
        <w:rPr>
          <w:rFonts w:ascii="Arial" w:cs="Arial" w:eastAsia="Arial" w:hAnsi="Arial"/>
          <w:sz w:val="20"/>
          <w:szCs w:val="20"/>
        </w:rPr>
        <w:t xml:space="preserve">Störungen und Minderleistungen der Gesamtanlage, deren Ursache ausserhalb des Liefer- und Verantwortungsbereichs von OffiTec liegt (Planung, Hydraulik, Elektro, GLT, bauseitige Sensorik);</w:t>
      </w:r>
    </w:p>
    <w:p>
      <w:pPr>
        <w:pStyle w:val="ListParagraph"/>
        <w:numPr>
          <w:ilvl w:val="0"/>
          <w:numId w:val="2"/>
        </w:numPr>
        <w:spacing w:after="60"/>
        <w:jc w:val="both"/>
      </w:pPr>
      <w:r>
        <w:rPr>
          <w:rFonts w:ascii="Arial" w:cs="Arial" w:eastAsia="Arial" w:hAnsi="Arial"/>
          <w:sz w:val="20"/>
          <w:szCs w:val="20"/>
        </w:rPr>
        <w:t xml:space="preserve">Verschleissteile (u.a. Filter, Trockner, Sicherungen, Riemen, Dichtungen) sowie Betriebsstoffe (Kältemittel, Öl, Sole, Frostschutz), soweit deren Verlust nicht auf einen Material- oder Fabrikationsfehler der Maschine zurückzuführen ist;</w:t>
      </w:r>
    </w:p>
    <w:p>
      <w:pPr>
        <w:pStyle w:val="ListParagraph"/>
        <w:numPr>
          <w:ilvl w:val="0"/>
          <w:numId w:val="2"/>
        </w:numPr>
        <w:spacing w:after="60"/>
        <w:jc w:val="both"/>
      </w:pPr>
      <w:r>
        <w:rPr>
          <w:rFonts w:ascii="Arial" w:cs="Arial" w:eastAsia="Arial" w:hAnsi="Arial"/>
          <w:sz w:val="20"/>
          <w:szCs w:val="20"/>
        </w:rPr>
        <w:t xml:space="preserve">Korrosion, Verkalkung, Verschlammung und Frostschäden infolge ungeeigneter Wasserqualität, fehlenden Frostschutzes oder fehlender Systemtrennung;</w:t>
      </w:r>
    </w:p>
    <w:p>
      <w:pPr>
        <w:pStyle w:val="ListParagraph"/>
        <w:numPr>
          <w:ilvl w:val="0"/>
          <w:numId w:val="2"/>
        </w:numPr>
        <w:spacing w:after="60"/>
        <w:jc w:val="both"/>
      </w:pPr>
      <w:r>
        <w:rPr>
          <w:rFonts w:ascii="Arial" w:cs="Arial" w:eastAsia="Arial" w:hAnsi="Arial"/>
          <w:sz w:val="20"/>
          <w:szCs w:val="20"/>
        </w:rPr>
        <w:t xml:space="preserve">Schäden durch externe Einflüsse (Überspannung, Blitzschlag, Wasser, Brand, aggressive Umgebungsluft, Vandalismus, höhere Gewalt);</w:t>
      </w:r>
    </w:p>
    <w:p>
      <w:pPr>
        <w:pStyle w:val="ListParagraph"/>
        <w:numPr>
          <w:ilvl w:val="0"/>
          <w:numId w:val="2"/>
        </w:numPr>
        <w:spacing w:after="60"/>
        <w:jc w:val="both"/>
      </w:pPr>
      <w:r>
        <w:rPr>
          <w:rFonts w:ascii="Arial" w:cs="Arial" w:eastAsia="Arial" w:hAnsi="Arial"/>
          <w:sz w:val="20"/>
          <w:szCs w:val="20"/>
        </w:rPr>
        <w:t xml:space="preserve">Schäden infolge Nichtbeachtung von im IBN-Protokoll festgehaltenen Vorbehalten, wenn der Kunde die beanstandeten Punkte nicht innert der gesetzten Frist behoben hat.</w:t>
      </w:r>
    </w:p>
    <w:p>
      <w:pPr>
        <w:spacing w:after="100"/>
        <w:jc w:val="both"/>
      </w:pPr>
      <w:r>
        <w:rPr>
          <w:rFonts w:ascii="Arial" w:cs="Arial" w:eastAsia="Arial" w:hAnsi="Arial"/>
          <w:b w:val="false"/>
          <w:bCs w:val="false"/>
          <w:sz w:val="20"/>
          <w:szCs w:val="20"/>
        </w:rPr>
        <w:t xml:space="preserve">9.5 Beweis und Betriebsdaten. Die Steuerung der Maschine zeichnet Betriebsdaten auf (u.a. Schaltspiele, Laufzeiten, Temperaturen, Drücke, Störmeldungen); bei aktiviertem Cloud Service werden diese zusätzlich übermittelt und gespeichert. Der Kunde anerkennt diese Aufzeichnungen als zulässiges Beweismittel für die Beurteilung von Garantie- und Gewährleistungsfällen. Weist die Aufzeichnung eine Überschreitung der zulässigen Schaltspiele, einen Betrieb ausserhalb der Einsatzgrenzen oder quittierte, unbeachtete Störmeldungen nach, wird vermutet, dass der Schaden hierauf zurückzuführen ist; dem Kunden steht der Gegenbeweis offen.</w:t>
      </w:r>
    </w:p>
    <w:p>
      <w:pPr>
        <w:spacing w:after="100"/>
        <w:jc w:val="both"/>
      </w:pPr>
      <w:r>
        <w:rPr>
          <w:rFonts w:ascii="Arial" w:cs="Arial" w:eastAsia="Arial" w:hAnsi="Arial"/>
          <w:b w:val="false"/>
          <w:bCs w:val="false"/>
          <w:sz w:val="20"/>
          <w:szCs w:val="20"/>
        </w:rPr>
        <w:t xml:space="preserve">9.6 Einsätze ohne Garantiefall. Stellt sich bei einem Einsatz heraus, dass kein Garantie- oder Gewährleistungsfall vorliegt – insbesondere bei bauseitigen Ursachen wie fehlerhafter oder ungenügender Hydraulik, fehlendem oder nicht eingebundenem Puffer, bauseitiger Regelung, ungenügendem Frostschutz, Bedien- oder Installationsfehlern – werden Einsatz, Material, Wegzeit und Spesen nach Regie zu den jeweils gültigen Ansätzen verrechnet. Der Stundenansatz für Servicetechniker beträgt bis zu CHF 180, zuzüglich Zuschläge für Pikett-, Nacht-, Wochenend- und Feiertagseinsätze gemäss jeweils gültiger Tarifliste.</w:t>
      </w:r>
    </w:p>
    <w:p>
      <w:pPr>
        <w:shd w:fill="FFF3CD" w:val="clear"/>
        <w:spacing w:after="100"/>
        <w:jc w:val="both"/>
      </w:pPr>
      <w:r>
        <w:rPr>
          <w:rFonts w:ascii="Arial" w:cs="Arial" w:eastAsia="Arial" w:hAnsi="Arial"/>
          <w:i/>
          <w:iCs/>
          <w:color w:val="7A6000"/>
          <w:sz w:val="18"/>
          <w:szCs w:val="18"/>
        </w:rPr>
        <w:t xml:space="preserve">KOMMENTAR (intern, vor Publikation löschen): Ziff. 9.3 lit. c und 9.4 erster Punkt sind eure «Takt-Klauseln». Die Beweislastregel in 9.5 (widerlegbare Vermutung) ist B2B gut vertretbar; gegenüber Privatkunden könnte ein Gericht sie an Art. 8 UWG messen – deshalb als Vermutung mit Gegenbeweis ausgestaltet, nicht als fixer Ausschluss.</w:t>
      </w:r>
    </w:p>
    <w:p>
      <w:pPr>
        <w:pStyle w:val="Heading1"/>
        <w:spacing w:after="120" w:before="300"/>
      </w:pPr>
      <w:r>
        <w:rPr>
          <w:rFonts w:ascii="Arial" w:cs="Arial" w:eastAsia="Arial" w:hAnsi="Arial"/>
          <w:b/>
          <w:bCs/>
          <w:color w:val="1F3864"/>
          <w:sz w:val="26"/>
          <w:szCs w:val="26"/>
        </w:rPr>
        <w:t xml:space="preserve">10. Haftung</w:t>
      </w:r>
    </w:p>
    <w:p>
      <w:pPr>
        <w:spacing w:after="100"/>
        <w:jc w:val="both"/>
      </w:pPr>
      <w:r>
        <w:rPr>
          <w:rFonts w:ascii="Arial" w:cs="Arial" w:eastAsia="Arial" w:hAnsi="Arial"/>
          <w:b w:val="false"/>
          <w:bCs w:val="false"/>
          <w:sz w:val="20"/>
          <w:szCs w:val="20"/>
        </w:rPr>
        <w:t xml:space="preserve">10.1 OffiTec haftet unbeschränkt für Schäden aus rechtswidriger Absicht oder grober Fahrlässigkeit sowie für Personenschäden. Die zwingende Haftung nach dem Produktehaftpflichtgesetz (PrHG) bleibt vorbehalten.</w:t>
      </w:r>
    </w:p>
    <w:p>
      <w:pPr>
        <w:spacing w:after="100"/>
        <w:jc w:val="both"/>
      </w:pPr>
      <w:r>
        <w:rPr>
          <w:rFonts w:ascii="Arial" w:cs="Arial" w:eastAsia="Arial" w:hAnsi="Arial"/>
          <w:b w:val="false"/>
          <w:bCs w:val="false"/>
          <w:sz w:val="20"/>
          <w:szCs w:val="20"/>
        </w:rPr>
        <w:t xml:space="preserve">10.2 Im Übrigen ist die Haftung von OffiTec – gleich aus welchem Rechtsgrund – gegenüber Geschäftskunden beschränkt auf den Nettovertragswert der betroffenen Lieferung, insgesamt höchstens CHF [Betrag] pro Schadenereignis.</w:t>
      </w:r>
    </w:p>
    <w:p>
      <w:pPr>
        <w:spacing w:after="100"/>
        <w:jc w:val="both"/>
      </w:pPr>
      <w:r>
        <w:rPr>
          <w:rFonts w:ascii="Arial" w:cs="Arial" w:eastAsia="Arial" w:hAnsi="Arial"/>
          <w:b w:val="false"/>
          <w:bCs w:val="false"/>
          <w:sz w:val="20"/>
          <w:szCs w:val="20"/>
        </w:rPr>
        <w:t xml:space="preserve">10.3 Gegenüber Geschäftskunden ausgeschlossen ist, soweit gesetzlich zulässig, die Haftung für indirekte und Folgeschäden, namentlich entgangenen Gewinn, Produktions- und Nutzungsausfall, Betriebsunterbruch infolge Ausfalls der Maschine, Kosten für Miet- und Ersatzgeräte (z.B. Mietkälte, Notkühlung, provisorische Wärmeerzeugung), Mehrkosten für Ersatzenergie und Ersatzkälte/-wärme, Datenverlust, Ansprüche Dritter (inkl. Konventionalstrafen aus Verträgen des Kunden mit Dritten) sowie reine Vermögensschäden.</w:t>
      </w:r>
    </w:p>
    <w:p>
      <w:pPr>
        <w:spacing w:after="100"/>
        <w:jc w:val="both"/>
      </w:pPr>
      <w:r>
        <w:rPr>
          <w:rFonts w:ascii="Arial" w:cs="Arial" w:eastAsia="Arial" w:hAnsi="Arial"/>
          <w:b w:val="false"/>
          <w:bCs w:val="false"/>
          <w:sz w:val="20"/>
          <w:szCs w:val="20"/>
        </w:rPr>
        <w:t xml:space="preserve">10.4 OffiTec haftet nicht für Schäden, die auf fehlerhafte Planung, Installation, Einbindung oder Bedienung durch den Kunden oder Dritte zurückzuführen sind, insbesondere nicht für Schäden aus Kurztakten infolge ungenügenden Puffer-/Anlagevolumens oder fehlerhafter Hydraulik (Ziff. 9.4). Die Hilfspersonenhaftung für beigezogene selbständige Dritte wird gegenüber Geschäftskunden im Rahmen von Art. 101 Abs. 2 OR wegbedungen.</w:t>
      </w:r>
    </w:p>
    <w:p>
      <w:pPr>
        <w:spacing w:after="100"/>
        <w:jc w:val="both"/>
      </w:pPr>
      <w:r>
        <w:rPr>
          <w:rFonts w:ascii="Arial" w:cs="Arial" w:eastAsia="Arial" w:hAnsi="Arial"/>
          <w:b w:val="false"/>
          <w:bCs w:val="false"/>
          <w:sz w:val="20"/>
          <w:szCs w:val="20"/>
        </w:rPr>
        <w:t xml:space="preserve">10.5 Gegenüber Privatkunden gelten die Haftungsbeschränkungen nur im Rahmen des zwingenden Rechts (insb. Art. 100 f. OR, PrHG).</w:t>
      </w:r>
    </w:p>
    <w:p>
      <w:pPr>
        <w:pStyle w:val="Heading1"/>
        <w:spacing w:after="120" w:before="300"/>
      </w:pPr>
      <w:r>
        <w:rPr>
          <w:rFonts w:ascii="Arial" w:cs="Arial" w:eastAsia="Arial" w:hAnsi="Arial"/>
          <w:b/>
          <w:bCs/>
          <w:color w:val="1F3864"/>
          <w:sz w:val="26"/>
          <w:szCs w:val="26"/>
        </w:rPr>
        <w:t xml:space="preserve">11. Produktkonformität, Kältemittel, Herkunft</w:t>
      </w:r>
    </w:p>
    <w:p>
      <w:pPr>
        <w:spacing w:after="100"/>
        <w:jc w:val="both"/>
      </w:pPr>
      <w:r>
        <w:rPr>
          <w:rFonts w:ascii="Arial" w:cs="Arial" w:eastAsia="Arial" w:hAnsi="Arial"/>
          <w:b w:val="false"/>
          <w:bCs w:val="false"/>
          <w:sz w:val="20"/>
          <w:szCs w:val="20"/>
        </w:rPr>
        <w:t xml:space="preserve">11.1 Die Produkte entsprechen im Zeitpunkt des Inverkehrbringens den in der Schweiz anwendbaren Vorschriften (insb. PrSG, Maschinen-, Niederspannungs-, EMV- und Druckgeräte-Vorschriften) und werden mit Konformitätserklärung und CE-Kennzeichnung geliefert, soweit einschlägig. Für die Einhaltung ausländischer Vorschriften am Bestimmungsort ausserhalb der Schweiz/des EWR ist der Kunde verantwortlich, sofern nicht schriftlich anders vereinbart.</w:t>
      </w:r>
    </w:p>
    <w:p>
      <w:pPr>
        <w:spacing w:after="100"/>
        <w:jc w:val="both"/>
      </w:pPr>
      <w:r>
        <w:rPr>
          <w:rFonts w:ascii="Arial" w:cs="Arial" w:eastAsia="Arial" w:hAnsi="Arial"/>
          <w:b w:val="false"/>
          <w:bCs w:val="false"/>
          <w:sz w:val="20"/>
          <w:szCs w:val="20"/>
        </w:rPr>
        <w:t xml:space="preserve">11.2 Der Kunde stellt sicher, dass Arbeiten am Kältekreis nur durch Personen mit erforderlicher Fachbewilligung erfolgen und die Vorschriften über Kältemittel (ChemRRV, Meldepflichten, Dichtheitskontrollen, Wartungsheft) eingehalten werden. Betreiberpflichten gehen mit Übergabe auf den Kunden bzw. Betreiber über.</w:t>
      </w:r>
    </w:p>
    <w:p>
      <w:pPr>
        <w:spacing w:after="100"/>
        <w:jc w:val="both"/>
      </w:pPr>
      <w:r>
        <w:rPr>
          <w:rFonts w:ascii="Arial" w:cs="Arial" w:eastAsia="Arial" w:hAnsi="Arial"/>
          <w:b w:val="false"/>
          <w:bCs w:val="false"/>
          <w:sz w:val="20"/>
          <w:szCs w:val="20"/>
        </w:rPr>
        <w:t xml:space="preserve">11.3 Herstellung und Ursprung: Die Produkte werden von der Konzerngesellschaft in der Türkei gefertigt. Ursprungsnachweise werden, soweit die Voraussetzungen erfüllt sind, im Rahmen des Freihandelsabkommens ausgestellt. Zoll- und Einfuhrformalitäten ausserhalb des vereinbarten Incoterms sind Sache des Kunden.</w:t>
      </w:r>
    </w:p>
    <w:p>
      <w:pPr>
        <w:pStyle w:val="Heading1"/>
        <w:spacing w:after="120" w:before="300"/>
      </w:pPr>
      <w:r>
        <w:rPr>
          <w:rFonts w:ascii="Arial" w:cs="Arial" w:eastAsia="Arial" w:hAnsi="Arial"/>
          <w:b/>
          <w:bCs/>
          <w:color w:val="1F3864"/>
          <w:sz w:val="26"/>
          <w:szCs w:val="26"/>
        </w:rPr>
        <w:t xml:space="preserve">12. Service und Wartung</w:t>
      </w:r>
    </w:p>
    <w:p>
      <w:pPr>
        <w:spacing w:after="100"/>
        <w:jc w:val="both"/>
      </w:pPr>
      <w:r>
        <w:rPr>
          <w:rFonts w:ascii="Arial" w:cs="Arial" w:eastAsia="Arial" w:hAnsi="Arial"/>
          <w:b w:val="false"/>
          <w:bCs w:val="false"/>
          <w:sz w:val="20"/>
          <w:szCs w:val="20"/>
        </w:rPr>
        <w:t xml:space="preserve">12.1 Service-, Wartungs- und Pikettleistungen erfolgen gemäss separatem Wartungsvertrag oder nach Aufwand zu den jeweils gültigen Ansätzen von OffiTec (inkl. Wegzeit und Spesen).</w:t>
      </w:r>
    </w:p>
    <w:p>
      <w:pPr>
        <w:spacing w:after="100"/>
        <w:jc w:val="both"/>
      </w:pPr>
      <w:r>
        <w:rPr>
          <w:rFonts w:ascii="Arial" w:cs="Arial" w:eastAsia="Arial" w:hAnsi="Arial"/>
          <w:b w:val="false"/>
          <w:bCs w:val="false"/>
          <w:sz w:val="20"/>
          <w:szCs w:val="20"/>
        </w:rPr>
        <w:t xml:space="preserve">12.2 Reaktionszeiten gelten nur, wenn sie in einem Wartungsvertrag ausdrücklich zugesichert sind. «Reaktionszeit» bezeichnet die Frist bis zur ersten qualifizierten Reaktion von OffiTec; diese kann telefonisch, per Fernzugriff oder vor Ort erfolgen. Ein Anspruch auf eine Vor-Ort-Intervention innert der Reaktionszeit besteht nur, wenn dies ausdrücklich schriftlich vereinbart ist. Störungsmeldungen haben über die von OffiTec bezeichneten Kanäle zu erfolgen.</w:t>
      </w:r>
    </w:p>
    <w:p>
      <w:pPr>
        <w:spacing w:after="100"/>
        <w:jc w:val="both"/>
      </w:pPr>
      <w:r>
        <w:rPr>
          <w:rFonts w:ascii="Arial" w:cs="Arial" w:eastAsia="Arial" w:hAnsi="Arial"/>
          <w:b w:val="false"/>
          <w:bCs w:val="false"/>
          <w:sz w:val="20"/>
          <w:szCs w:val="20"/>
        </w:rPr>
        <w:t xml:space="preserve">12.3 Für Ersatzteile gilt eine Garantie von 12 Monaten ab Einbau, längstens 18 Monaten ab Lieferung; im Übrigen gelten Ziff. 8–10 sinngemäss.</w:t>
      </w:r>
    </w:p>
    <w:p>
      <w:pPr>
        <w:spacing w:after="100"/>
        <w:jc w:val="both"/>
      </w:pPr>
      <w:r>
        <w:rPr>
          <w:rFonts w:ascii="Arial" w:cs="Arial" w:eastAsia="Arial" w:hAnsi="Arial"/>
          <w:b w:val="false"/>
          <w:bCs w:val="false"/>
          <w:sz w:val="20"/>
          <w:szCs w:val="20"/>
        </w:rPr>
        <w:t xml:space="preserve">12.4 Die Ersatzteilversorgung wird für mindestens 10 Jahre ab Serieauslauf angestrebt; ein Anspruch auf Verfügbarkeit einzelner Teile besteht nicht, wenn Unterlieferanten die Belieferung einstellen; OffiTec bietet in diesem Fall gleichwertige Alternativen an, soweit möglich.</w:t>
      </w:r>
    </w:p>
    <w:p>
      <w:pPr>
        <w:pStyle w:val="Heading1"/>
        <w:spacing w:after="120" w:before="300"/>
      </w:pPr>
      <w:r>
        <w:rPr>
          <w:rFonts w:ascii="Arial" w:cs="Arial" w:eastAsia="Arial" w:hAnsi="Arial"/>
          <w:b/>
          <w:bCs/>
          <w:color w:val="1F3864"/>
          <w:sz w:val="26"/>
          <w:szCs w:val="26"/>
        </w:rPr>
        <w:t xml:space="preserve">13. OffiTec Cloud Service</w:t>
      </w:r>
    </w:p>
    <w:p>
      <w:pPr>
        <w:spacing w:after="100"/>
        <w:jc w:val="both"/>
      </w:pPr>
      <w:r>
        <w:rPr>
          <w:rFonts w:ascii="Arial" w:cs="Arial" w:eastAsia="Arial" w:hAnsi="Arial"/>
          <w:b w:val="false"/>
          <w:bCs w:val="false"/>
          <w:sz w:val="20"/>
          <w:szCs w:val="20"/>
        </w:rPr>
        <w:t xml:space="preserve">13.1 Der OffiTec Cloud Service (Übermittlung, Speicherung und Visualisierung von Betriebsdaten der Maschine, Fernzugriff, Alarmweiterleitung) ist eine optionale Dienstleistung gemäss separater Leistungsbeschreibung. Voraussetzung ist eine bauseitige, dauerhafte Internetverbindung; deren Kosten und Verfügbarkeit sind Sache des Kunden.</w:t>
      </w:r>
    </w:p>
    <w:p>
      <w:pPr>
        <w:spacing w:after="100"/>
        <w:jc w:val="both"/>
      </w:pPr>
      <w:r>
        <w:rPr>
          <w:rFonts w:ascii="Arial" w:cs="Arial" w:eastAsia="Arial" w:hAnsi="Arial"/>
          <w:b w:val="false"/>
          <w:bCs w:val="false"/>
          <w:sz w:val="20"/>
          <w:szCs w:val="20"/>
        </w:rPr>
        <w:t xml:space="preserve">13.2 Kein Überwachungsdienst. Der Cloud Service ersetzt weder die Betreiberpflichten noch die örtliche Überwachung, Wartung und Störungsbehebung. OffiTec schuldet keine aktive Überwachung der Anlage und keine Reaktion auf Alarme, sofern dies nicht in einem separaten Vertrag ausdrücklich vereinbart ist. Für die Alarmweiterleitung besteht keine Verfügbarkeits- oder Zustellgarantie.</w:t>
      </w:r>
    </w:p>
    <w:p>
      <w:pPr>
        <w:spacing w:after="100"/>
        <w:jc w:val="both"/>
      </w:pPr>
      <w:r>
        <w:rPr>
          <w:rFonts w:ascii="Arial" w:cs="Arial" w:eastAsia="Arial" w:hAnsi="Arial"/>
          <w:b w:val="false"/>
          <w:bCs w:val="false"/>
          <w:sz w:val="20"/>
          <w:szCs w:val="20"/>
        </w:rPr>
        <w:t xml:space="preserve">13.3 Verfügbarkeit. OffiTec bemüht sich um eine hohe Verfügbarkeit des Cloud Service, garantiert diese jedoch nicht. Unterbrüche für Wartung, Updates sowie Störungen bei Dritten (Hosting, Telekommunikation) bleiben vorbehalten. Der Cloud Service kann mit einer Ankündigungsfrist von 12 Monaten eingestellt oder geändert werden; bereits bezahlte Entgelte werden pro rata zurückerstattet.</w:t>
      </w:r>
    </w:p>
    <w:p>
      <w:pPr>
        <w:spacing w:after="100"/>
        <w:jc w:val="both"/>
      </w:pPr>
      <w:r>
        <w:rPr>
          <w:rFonts w:ascii="Arial" w:cs="Arial" w:eastAsia="Arial" w:hAnsi="Arial"/>
          <w:b w:val="false"/>
          <w:bCs w:val="false"/>
          <w:sz w:val="20"/>
          <w:szCs w:val="20"/>
        </w:rPr>
        <w:t xml:space="preserve">13.4 Fernzugriff. Der Kunde ermächtigt OffiTec, für Diagnose, Störungsbehebung, Updates und Optimierung aus der Ferne auf die Maschinensteuerung zuzugreifen. Parameteränderungen werden protokolliert. Der Kunde sorgt dafür, dass sein Netzwerk den Fernzugriff sicher zulässt.</w:t>
      </w:r>
    </w:p>
    <w:p>
      <w:pPr>
        <w:spacing w:after="100"/>
        <w:jc w:val="both"/>
      </w:pPr>
      <w:r>
        <w:rPr>
          <w:rFonts w:ascii="Arial" w:cs="Arial" w:eastAsia="Arial" w:hAnsi="Arial"/>
          <w:b w:val="false"/>
          <w:bCs w:val="false"/>
          <w:sz w:val="20"/>
          <w:szCs w:val="20"/>
        </w:rPr>
        <w:t xml:space="preserve">13.5 Daten. Betriebs- und Maschinendaten dürfen von OffiTec zur Vertragserfüllung, für Diagnose, Garantieabwicklung (Ziff. 9.5), Produktverbesserung und Statistik in anonymisierter bzw. aggregierter Form bearbeitet werden; an solchen anonymisierten Daten steht OffiTec ein zeitlich unbeschränktes, unentgeltliches Nutzungsrecht zu. Personendaten werden gemäss Ziff. 14 bearbeitet.</w:t>
      </w:r>
    </w:p>
    <w:p>
      <w:pPr>
        <w:spacing w:after="100"/>
        <w:jc w:val="both"/>
      </w:pPr>
      <w:r>
        <w:rPr>
          <w:rFonts w:ascii="Arial" w:cs="Arial" w:eastAsia="Arial" w:hAnsi="Arial"/>
          <w:b w:val="false"/>
          <w:bCs w:val="false"/>
          <w:sz w:val="20"/>
          <w:szCs w:val="20"/>
        </w:rPr>
        <w:t xml:space="preserve">13.6 Verantwortlichkeiten und Haftung. Der Kunde ist dafür verantwortlich, betroffene Personen in seinem Bereich (z.B. Nutzer, Mieter, Personal) über die Datenbearbeitung im Rahmen des Cloud Service zu informieren und allfällige erforderliche Einwilligungen einzuholen. Er verwaltet seine Benutzerkonten und Zugangsdaten sorgfältig und meldet OffiTec unverzüglich jeden Verdacht auf Missbrauch. Die Haftung von OffiTec für Datenverluste, Übermittlungsfehler, Unterbrüche, ausbleibende, verspätete oder fehlerhafte Alarme sowie für unberechtigte Zugriffe Dritter trotz angemessener technischer und organisatorischer Schutzmassnahmen ist ausgeschlossen, soweit gesetzlich zulässig. Entscheidungen über den Betrieb der Anlage, die gestützt auf Cloud-Daten getroffen werden, liegen in der Verantwortung des Kunden.</w:t>
      </w:r>
    </w:p>
    <w:p>
      <w:pPr>
        <w:pStyle w:val="Heading1"/>
        <w:spacing w:after="120" w:before="300"/>
      </w:pPr>
      <w:r>
        <w:rPr>
          <w:rFonts w:ascii="Arial" w:cs="Arial" w:eastAsia="Arial" w:hAnsi="Arial"/>
          <w:b/>
          <w:bCs/>
          <w:color w:val="1F3864"/>
          <w:sz w:val="26"/>
          <w:szCs w:val="26"/>
        </w:rPr>
        <w:t xml:space="preserve">14. Datenschutz</w:t>
      </w:r>
    </w:p>
    <w:p>
      <w:pPr>
        <w:spacing w:after="100"/>
        <w:jc w:val="both"/>
      </w:pPr>
      <w:r>
        <w:rPr>
          <w:rFonts w:ascii="Arial" w:cs="Arial" w:eastAsia="Arial" w:hAnsi="Arial"/>
          <w:b w:val="false"/>
          <w:bCs w:val="false"/>
          <w:sz w:val="20"/>
          <w:szCs w:val="20"/>
        </w:rPr>
        <w:t xml:space="preserve">14.1 OffiTec bearbeitet Personendaten gemäss dem schweizerischen Datenschutzgesetz (DSG) und – soweit anwendbar – der DSGVO, entsprechend der Datenschutzerklärung von OffiTec ([URL]). Zugriffsrechte auf den Cloud Service werden rollenbasiert vergeben; der Kunde ist für die Verwaltung seiner Benutzer und die Geheimhaltung der Zugangsdaten verantwortlich.</w:t>
      </w:r>
    </w:p>
    <w:p>
      <w:pPr>
        <w:spacing w:after="100"/>
        <w:jc w:val="both"/>
      </w:pPr>
      <w:r>
        <w:rPr>
          <w:rFonts w:ascii="Arial" w:cs="Arial" w:eastAsia="Arial" w:hAnsi="Arial"/>
          <w:b w:val="false"/>
          <w:bCs w:val="false"/>
          <w:sz w:val="20"/>
          <w:szCs w:val="20"/>
        </w:rPr>
        <w:t xml:space="preserve">14.2 Soweit OffiTec im Rahmen des Cloud Service Personendaten im Auftrag des Kunden bearbeitet, schliessen die Parteien auf Verlangen eine Auftragsbearbeitungsvereinbarung ab. Datenbekanntgaben ins Ausland erfolgen nur unter Einhaltung der gesetzlichen Voraussetzungen (Art. 16 ff. DSG).</w:t>
      </w:r>
    </w:p>
    <w:p>
      <w:pPr>
        <w:pStyle w:val="Heading1"/>
        <w:spacing w:after="120" w:before="300"/>
      </w:pPr>
      <w:r>
        <w:rPr>
          <w:rFonts w:ascii="Arial" w:cs="Arial" w:eastAsia="Arial" w:hAnsi="Arial"/>
          <w:b/>
          <w:bCs/>
          <w:color w:val="1F3864"/>
          <w:sz w:val="26"/>
          <w:szCs w:val="26"/>
        </w:rPr>
        <w:t xml:space="preserve">15. Geheimhaltung; Konventionalstrafe</w:t>
      </w:r>
    </w:p>
    <w:p>
      <w:pPr>
        <w:spacing w:after="100"/>
        <w:jc w:val="both"/>
      </w:pPr>
      <w:r>
        <w:rPr>
          <w:rFonts w:ascii="Arial" w:cs="Arial" w:eastAsia="Arial" w:hAnsi="Arial"/>
          <w:b w:val="false"/>
          <w:bCs w:val="false"/>
          <w:sz w:val="20"/>
          <w:szCs w:val="20"/>
        </w:rPr>
        <w:t xml:space="preserve">15.1 Die Parteien behandeln alle nicht allgemein bekannten Informationen aus der Geschäftsbeziehung vertraulich und verwenden sie ausschliesslich zur Vertragserfüllung. Diese Pflicht gilt während der Vertragsdauer und fünf Jahre darüber hinaus. Gesetzliche Offenlegungspflichten bleiben vorbehalten.</w:t>
      </w:r>
    </w:p>
    <w:p>
      <w:pPr>
        <w:spacing w:after="100"/>
        <w:jc w:val="both"/>
      </w:pPr>
      <w:r>
        <w:rPr>
          <w:rFonts w:ascii="Arial" w:cs="Arial" w:eastAsia="Arial" w:hAnsi="Arial"/>
          <w:b w:val="false"/>
          <w:bCs w:val="false"/>
          <w:sz w:val="20"/>
          <w:szCs w:val="20"/>
        </w:rPr>
        <w:t xml:space="preserve">15.2 Konventionalstrafe. Gibt der Kunde vertrauliche Informationen von OffiTec – namentlich Angebote, Preise, Kalkulationen, Schemata, Zeichnungen, Auslegungen, Software, Parametrierungen oder sonstiges Know-how – ohne vorgängige schriftliche Zustimmung von OffiTec an Konkurrenten von OffiTec oder sonstige unberechtigte Dritte weiter, schuldet er OffiTec eine Konventionalstrafe von CHF 50'000 pro Verstoss. Die Bezahlung der Konventionalstrafe befreit nicht von der Geheimhaltungspflicht. Der Ersatz eines die Konventionalstrafe übersteigenden Schadens sowie Unterlassungs- und Beseitigungsansprüche (inkl. UWG) bleiben vorbehalten. Die Weitergabe an eigene Berater und Erfüllungsgehilfen, die einer entsprechenden Geheimhaltungspflicht unterstehen, sowie an die Bauherrschaft im erforderlichen Umfang gilt nicht als Verstoss.</w:t>
      </w:r>
    </w:p>
    <w:p>
      <w:pPr>
        <w:pStyle w:val="Heading1"/>
        <w:spacing w:after="120" w:before="300"/>
      </w:pPr>
      <w:r>
        <w:rPr>
          <w:rFonts w:ascii="Arial" w:cs="Arial" w:eastAsia="Arial" w:hAnsi="Arial"/>
          <w:b/>
          <w:bCs/>
          <w:color w:val="1F3864"/>
          <w:sz w:val="26"/>
          <w:szCs w:val="26"/>
        </w:rPr>
        <w:t xml:space="preserve">16. Annullierung und Rücktritt</w:t>
      </w:r>
    </w:p>
    <w:p>
      <w:pPr>
        <w:spacing w:after="100"/>
        <w:jc w:val="both"/>
      </w:pPr>
      <w:r>
        <w:rPr>
          <w:rFonts w:ascii="Arial" w:cs="Arial" w:eastAsia="Arial" w:hAnsi="Arial"/>
          <w:b w:val="false"/>
          <w:bCs w:val="false"/>
          <w:sz w:val="20"/>
          <w:szCs w:val="20"/>
        </w:rPr>
        <w:t xml:space="preserve">16.1 Annullierung durch den Kunden. Ein freier Rücktritt des Kunden ist ausgeschlossen (Ziff. 2.5). Stimmt OffiTec einer Annullierung ausnahmsweise schriftlich zu, schuldet der Kunde kumulativ: (a) die Vergütung sämtlicher bis zur Annullierung erbrachten Leistungen und angefallenen Aufwendungen (Engineering, Konstruktion, Zeichnungen, Projektleitung, Regieleistungen); (b) die Übernahme der bereits bestellten bzw. nicht stornierbaren Materialien, Komponenten und Waren zum vollen Preis, im jeweiligen IST-Zustand; sowie (c) eine Annullierungsentschädigung von 25 % des Nettoauftragswerts. Bei bereits begonnener kundenspezifischer Fertigung schuldet der Kunde stattdessen den vollen Preis abzüglich nachweislich ersparter Aufwendungen. Der Nachweis eines höheren Schadens bleibt vorbehalten.</w:t>
      </w:r>
    </w:p>
    <w:p>
      <w:pPr>
        <w:spacing w:after="100"/>
        <w:jc w:val="both"/>
      </w:pPr>
      <w:r>
        <w:rPr>
          <w:rFonts w:ascii="Arial" w:cs="Arial" w:eastAsia="Arial" w:hAnsi="Arial"/>
          <w:b w:val="false"/>
          <w:bCs w:val="false"/>
          <w:sz w:val="20"/>
          <w:szCs w:val="20"/>
        </w:rPr>
        <w:t xml:space="preserve">16.2 Rücktritt durch OffiTec. OffiTec kann ohne Entschädigungsfolge ganz oder teilweise vom Vertrag zurücktreten, wenn (a) über den Kunden der Konkurs eröffnet oder eine Nachlassstundung bewilligt wird oder sich seine Kreditwürdigkeit wesentlich verschlechtert und trotz Aufforderung keine Sicherheit geleistet wird (Art. 83 OR); (b) vereinbarte Zahlungen (insb. Anzahlungen) trotz Mahnung und Nachfrist ausbleiben; oder (c) die Fortsetzung der Zusammenarbeit für OffiTec unzumutbar geworden ist, namentlich wegen schwerwiegender Verletzung wesentlicher Vertragspflichten oder nachhaltiger Störung des Vertrauensverhältnisses.</w:t>
      </w:r>
    </w:p>
    <w:p>
      <w:pPr>
        <w:spacing w:after="100"/>
        <w:jc w:val="both"/>
      </w:pPr>
      <w:r>
        <w:rPr>
          <w:rFonts w:ascii="Arial" w:cs="Arial" w:eastAsia="Arial" w:hAnsi="Arial"/>
          <w:b w:val="false"/>
          <w:bCs w:val="false"/>
          <w:sz w:val="20"/>
          <w:szCs w:val="20"/>
        </w:rPr>
        <w:t xml:space="preserve">16.3 Folgen des Rücktritts durch OffiTec. Tritt OffiTec aus einem Grund gemäss Ziff. 16.2 zurück, ist OffiTec berechtigt, sämtliche bis dahin erbrachten Leistungen und angefallenen Aufwendungen sowie die bereits bestellten Materialien und Waren in Rechnung zu stellen, zuzüglich einer Entschädigung von 25 % des noch nicht abgerechneten Nettoauftragswerts. Bereits bestellte bzw. gefertigte Ware wird dem Kunden im IST-Zustand gegen vollständige Bezahlung ausgeliefert bzw. zur Abholung bereitgestellt. Weitergehender Schadenersatz bleibt vorbehalten.</w:t>
      </w:r>
    </w:p>
    <w:p>
      <w:pPr>
        <w:pStyle w:val="Heading1"/>
        <w:spacing w:after="120" w:before="300"/>
      </w:pPr>
      <w:r>
        <w:rPr>
          <w:rFonts w:ascii="Arial" w:cs="Arial" w:eastAsia="Arial" w:hAnsi="Arial"/>
          <w:b/>
          <w:bCs/>
          <w:color w:val="1F3864"/>
          <w:sz w:val="26"/>
          <w:szCs w:val="26"/>
        </w:rPr>
        <w:t xml:space="preserve">17. Exportkontrolle und Sanktionen</w:t>
      </w:r>
    </w:p>
    <w:p>
      <w:pPr>
        <w:spacing w:after="100"/>
        <w:jc w:val="both"/>
      </w:pPr>
      <w:r>
        <w:rPr>
          <w:rFonts w:ascii="Arial" w:cs="Arial" w:eastAsia="Arial" w:hAnsi="Arial"/>
          <w:b w:val="false"/>
          <w:bCs w:val="false"/>
          <w:sz w:val="20"/>
          <w:szCs w:val="20"/>
        </w:rPr>
        <w:t xml:space="preserve">Der Kunde hält bei Weiterveräusserung oder Ausfuhr der Produkte die anwendbaren Exportkontroll- und Sanktionsvorschriften (CH, EU, UN, ggf. US) ein und stellt OffiTec von Ansprüchen aus deren Verletzung frei. OffiTec kann Lieferungen verweigern oder aussetzen, soweit Sanktions- oder Bewilligungsvorschriften entgegenstehen; hieraus entstehen dem Kunden keine Ansprüche.</w:t>
      </w:r>
    </w:p>
    <w:p>
      <w:pPr>
        <w:pStyle w:val="Heading1"/>
        <w:spacing w:after="120" w:before="300"/>
      </w:pPr>
      <w:r>
        <w:rPr>
          <w:rFonts w:ascii="Arial" w:cs="Arial" w:eastAsia="Arial" w:hAnsi="Arial"/>
          <w:b/>
          <w:bCs/>
          <w:color w:val="1F3864"/>
          <w:sz w:val="26"/>
          <w:szCs w:val="26"/>
        </w:rPr>
        <w:t xml:space="preserve">18. Besondere Bestimmungen für Privatkunden</w:t>
      </w:r>
    </w:p>
    <w:p>
      <w:pPr>
        <w:spacing w:after="100"/>
        <w:jc w:val="both"/>
      </w:pPr>
      <w:r>
        <w:rPr>
          <w:rFonts w:ascii="Arial" w:cs="Arial" w:eastAsia="Arial" w:hAnsi="Arial"/>
          <w:b w:val="false"/>
          <w:bCs w:val="false"/>
          <w:sz w:val="20"/>
          <w:szCs w:val="20"/>
        </w:rPr>
        <w:t xml:space="preserve">18.1 Für Privatkunden gehen die zwingenden Bestimmungen des schweizerischen Rechts diesen AGB vor. Beschränkungen der Mängelrechte und der Haftung gelten gegenüber Privatkunden nur, soweit sie gesetzlich zulässig sind; im Übrigen bleiben die gesetzlichen Rechte (insb. Art. 197 ff., 210 Abs. 4, 368 ff. OR, PrHG) unberührt.</w:t>
      </w:r>
    </w:p>
    <w:p>
      <w:pPr>
        <w:spacing w:after="100"/>
        <w:jc w:val="both"/>
      </w:pPr>
      <w:r>
        <w:rPr>
          <w:rFonts w:ascii="Arial" w:cs="Arial" w:eastAsia="Arial" w:hAnsi="Arial"/>
          <w:b w:val="false"/>
          <w:bCs w:val="false"/>
          <w:sz w:val="20"/>
          <w:szCs w:val="20"/>
        </w:rPr>
        <w:t xml:space="preserve">18.2 Das unentgeltliche Nachbesserungsrecht bei Mängeln an Bauwerken, die für den privaten oder familiären Gebrauch bestimmt sind, sowie die 60-tägige Rügefrist gemäss Ziff. 7.2 können gegenüber Privatkunden nicht eingeschränkt werden.</w:t>
      </w:r>
    </w:p>
    <w:p>
      <w:pPr>
        <w:pStyle w:val="Heading1"/>
        <w:spacing w:after="120" w:before="300"/>
      </w:pPr>
      <w:r>
        <w:rPr>
          <w:rFonts w:ascii="Arial" w:cs="Arial" w:eastAsia="Arial" w:hAnsi="Arial"/>
          <w:b/>
          <w:bCs/>
          <w:color w:val="1F3864"/>
          <w:sz w:val="26"/>
          <w:szCs w:val="26"/>
        </w:rPr>
        <w:t xml:space="preserve">19. Schlussbestimmungen</w:t>
      </w:r>
    </w:p>
    <w:p>
      <w:pPr>
        <w:spacing w:after="100"/>
        <w:jc w:val="both"/>
      </w:pPr>
      <w:r>
        <w:rPr>
          <w:rFonts w:ascii="Arial" w:cs="Arial" w:eastAsia="Arial" w:hAnsi="Arial"/>
          <w:b w:val="false"/>
          <w:bCs w:val="false"/>
          <w:sz w:val="20"/>
          <w:szCs w:val="20"/>
        </w:rPr>
        <w:t xml:space="preserve">19.1 Änderungen und Ergänzungen des Vertrags bedürfen der Schriftform (einfache elektronische Übermittlung genügt). Dies gilt auch für die Aufhebung dieser Schriftformklausel.</w:t>
      </w:r>
    </w:p>
    <w:p>
      <w:pPr>
        <w:spacing w:after="100"/>
        <w:jc w:val="both"/>
      </w:pPr>
      <w:r>
        <w:rPr>
          <w:rFonts w:ascii="Arial" w:cs="Arial" w:eastAsia="Arial" w:hAnsi="Arial"/>
          <w:b w:val="false"/>
          <w:bCs w:val="false"/>
          <w:sz w:val="20"/>
          <w:szCs w:val="20"/>
        </w:rPr>
        <w:t xml:space="preserve">19.2 Der Kunde darf Rechte und Pflichten aus dem Vertrag nur mit schriftlicher Zustimmung von OffiTec abtreten oder übertragen. OffiTec darf den Vertrag auf eine Konzerngesellschaft übertragen, sofern die Erfüllung gewährleistet bleibt.</w:t>
      </w:r>
    </w:p>
    <w:p>
      <w:pPr>
        <w:spacing w:after="100"/>
        <w:jc w:val="both"/>
      </w:pPr>
      <w:r>
        <w:rPr>
          <w:rFonts w:ascii="Arial" w:cs="Arial" w:eastAsia="Arial" w:hAnsi="Arial"/>
          <w:b w:val="false"/>
          <w:bCs w:val="false"/>
          <w:sz w:val="20"/>
          <w:szCs w:val="20"/>
        </w:rPr>
        <w:t xml:space="preserve">19.3 Sollten einzelne Bestimmungen dieser AGB unwirksam sein oder werden, bleibt die Wirksamkeit der übrigen Bestimmungen unberührt. An die Stelle der unwirksamen Bestimmung tritt eine wirksame Regelung, die dem wirtschaftlichen Zweck am nächsten kommt.</w:t>
      </w:r>
    </w:p>
    <w:p>
      <w:pPr>
        <w:spacing w:after="100"/>
        <w:jc w:val="both"/>
      </w:pPr>
      <w:r>
        <w:rPr>
          <w:rFonts w:ascii="Arial" w:cs="Arial" w:eastAsia="Arial" w:hAnsi="Arial"/>
          <w:b w:val="false"/>
          <w:bCs w:val="false"/>
          <w:sz w:val="20"/>
          <w:szCs w:val="20"/>
        </w:rPr>
        <w:t xml:space="preserve">19.4 OffiTec kann diese AGB für künftige Geschäfte jederzeit anpassen; massgebend ist die bei Vertragsabschluss gültige Fassung.</w:t>
      </w:r>
    </w:p>
    <w:p>
      <w:pPr>
        <w:pStyle w:val="Heading1"/>
        <w:spacing w:after="120" w:before="300"/>
      </w:pPr>
      <w:r>
        <w:rPr>
          <w:rFonts w:ascii="Arial" w:cs="Arial" w:eastAsia="Arial" w:hAnsi="Arial"/>
          <w:b/>
          <w:bCs/>
          <w:color w:val="1F3864"/>
          <w:sz w:val="26"/>
          <w:szCs w:val="26"/>
        </w:rPr>
        <w:t xml:space="preserve">20. Anwendbares Recht und Gerichtsstand</w:t>
      </w:r>
    </w:p>
    <w:p>
      <w:pPr>
        <w:spacing w:after="100"/>
        <w:jc w:val="both"/>
      </w:pPr>
      <w:r>
        <w:rPr>
          <w:rFonts w:ascii="Arial" w:cs="Arial" w:eastAsia="Arial" w:hAnsi="Arial"/>
          <w:b w:val="false"/>
          <w:bCs w:val="false"/>
          <w:sz w:val="20"/>
          <w:szCs w:val="20"/>
        </w:rPr>
        <w:t xml:space="preserve">20.1 Es gilt ausschliesslich schweizerisches materielles Recht unter Ausschluss des Übereinkommens der Vereinten Nationen über Verträge über den internationalen Warenkauf (CISG) und der Kollisionsnormen.</w:t>
      </w:r>
    </w:p>
    <w:p>
      <w:pPr>
        <w:spacing w:after="100"/>
        <w:jc w:val="both"/>
      </w:pPr>
      <w:r>
        <w:rPr>
          <w:rFonts w:ascii="Arial" w:cs="Arial" w:eastAsia="Arial" w:hAnsi="Arial"/>
          <w:b w:val="false"/>
          <w:bCs w:val="false"/>
          <w:sz w:val="20"/>
          <w:szCs w:val="20"/>
        </w:rPr>
        <w:t xml:space="preserve">20.2 Ausschliesslicher Gerichtsstand für Geschäftskunden ist [Sitz der OffiTec Group AG]. OffiTec ist berechtigt, den Kunden auch an dessen Sitz zu belangen. Für Privatkunden gelten die zwingenden Gerichtsstände der ZPO bzw. des LugÜ.</w:t>
      </w:r>
    </w:p>
    <w:p>
      <w:pPr>
        <w:pBdr>
          <w:bottom w:val="single" w:color="999999" w:sz="6"/>
        </w:pBdr>
        <w:spacing w:after="100" w:before="100"/>
      </w:pPr>
    </w:p>
    <w:p>
      <w:pPr>
        <w:spacing w:after="100"/>
        <w:jc w:val="both"/>
      </w:pPr>
      <w:r>
        <w:rPr>
          <w:rFonts w:ascii="Arial" w:cs="Arial" w:eastAsia="Arial" w:hAnsi="Arial"/>
          <w:color w:val="666666"/>
          <w:sz w:val="18"/>
          <w:szCs w:val="18"/>
        </w:rPr>
        <w:t xml:space="preserve">OffiTec Group AG · OffiTec Heating &amp; Cooling · [Ort], [Datum]</w:t>
      </w:r>
    </w:p>
    <w:p>
      <w:pPr>
        <w:pageBreakBefore/>
      </w:pPr>
    </w:p>
    <w:p>
      <w:pPr>
        <w:pStyle w:val="Heading1"/>
        <w:spacing w:after="120" w:before="300"/>
      </w:pPr>
      <w:r>
        <w:rPr>
          <w:rFonts w:ascii="Arial" w:cs="Arial" w:eastAsia="Arial" w:hAnsi="Arial"/>
          <w:b/>
          <w:bCs/>
          <w:color w:val="1F3864"/>
          <w:sz w:val="26"/>
          <w:szCs w:val="26"/>
        </w:rPr>
        <w:t xml:space="preserve">Anhang: Interne Hinweise (vor Publikation entfernen)</w:t>
      </w:r>
    </w:p>
    <w:p>
      <w:pPr>
        <w:spacing w:after="100"/>
        <w:jc w:val="both"/>
      </w:pPr>
      <w:r>
        <w:rPr>
          <w:rFonts w:ascii="Arial" w:cs="Arial" w:eastAsia="Arial" w:hAnsi="Arial"/>
          <w:b w:val="false"/>
          <w:bCs w:val="false"/>
          <w:sz w:val="20"/>
          <w:szCs w:val="20"/>
        </w:rPr>
        <w:t xml:space="preserve">1. Platzhalter [ ... ] ausfüllen: Adresse, UID, Haftungsobergrenze (Ziff. 10.2), Garantieverlängerung (Ziff. 9.1), Gerichtsstand, URL Datenschutzerklärung, Datum.</w:t>
      </w:r>
    </w:p>
    <w:p>
      <w:pPr>
        <w:spacing w:after="100"/>
        <w:jc w:val="both"/>
      </w:pPr>
      <w:r>
        <w:rPr>
          <w:rFonts w:ascii="Arial" w:cs="Arial" w:eastAsia="Arial" w:hAnsi="Arial"/>
          <w:b w:val="false"/>
          <w:bCs w:val="false"/>
          <w:sz w:val="20"/>
          <w:szCs w:val="20"/>
        </w:rPr>
        <w:t xml:space="preserve">2. Einbezug sicherstellen: AGB werden nur Vertragsbestandteil, wenn der Kunde sie vor oder bei Vertragsabschluss zur Kenntnis nehmen konnte. In jeder Offerte und Auftragsbestätigung ausdrücklich verweisen und AGB beilegen oder verlinken; bei Privatkunden zusätzlich Übergabe/Bestätigung dokumentieren. Ungewöhnliche Klauseln (z.B. Ziff. 9.5 Beweisvermutung, Ziff. 16 Annullierungsfolgen) im Angebot hervorheben – das schützt vor der Ungewöhnlichkeitsregel.</w:t>
      </w:r>
    </w:p>
    <w:p>
      <w:pPr>
        <w:spacing w:after="100"/>
        <w:jc w:val="both"/>
      </w:pPr>
      <w:r>
        <w:rPr>
          <w:rFonts w:ascii="Arial" w:cs="Arial" w:eastAsia="Arial" w:hAnsi="Arial"/>
          <w:b w:val="false"/>
          <w:bCs w:val="false"/>
          <w:sz w:val="20"/>
          <w:szCs w:val="20"/>
        </w:rPr>
        <w:t xml:space="preserve">3. OR-Revision per 1.1.2026: Die gewünschten 20 Tage Rügefrist sind nur für nicht in Bauwerke integrierte Produkte zulässig; für Wärmepumpen, Kältemaschinen etc., die eingebaut werden, gilt die 60-Tage-Frist zwingend und kann nicht verkürzt werden. Ziff. 7.2 ist deshalb zweistufig aufgebaut. Ebenso zwingend: Nachbesserungsrecht bei privat genutzten Bauwerken (Ziff. 18.2).</w:t>
      </w:r>
    </w:p>
    <w:p>
      <w:pPr>
        <w:spacing w:after="100"/>
        <w:jc w:val="both"/>
      </w:pPr>
      <w:r>
        <w:rPr>
          <w:rFonts w:ascii="Arial" w:cs="Arial" w:eastAsia="Arial" w:hAnsi="Arial"/>
          <w:b w:val="false"/>
          <w:bCs w:val="false"/>
          <w:sz w:val="20"/>
          <w:szCs w:val="20"/>
        </w:rPr>
        <w:t xml:space="preserve">3a. Konventionalstrafen und Pauschalen (Ziff. 15.2: CHF 50'000; Ziff. 16: 25 % plus Aufwände plus Warenübernahme): Nach Art. 163 Abs. 3 OR kann ein Gericht übermässige Strafen herabsetzen – das ist kein Nichtigkeitsrisiko für die ganze Klausel, aber die Kumulation in Ziff. 16 (Aufwände + Ware + 25 %) wird ein Gericht im Streitfall kritisch prüfen. Gegenüber Privatkunden zusätzlich Art. 8 UWG-Risiko: dort empfiehlt sich Zurückhaltung bei der Durchsetzung. CHF 50'000 ist für ein KMU-Verhältnis plausibel; bei Grossprojekten kann alternativ «10 % des Auftragswerts, mindestens CHF 50'000» vereinbart werden.</w:t>
      </w:r>
    </w:p>
    <w:p>
      <w:pPr>
        <w:spacing w:after="100"/>
        <w:jc w:val="both"/>
      </w:pPr>
      <w:r>
        <w:rPr>
          <w:rFonts w:ascii="Arial" w:cs="Arial" w:eastAsia="Arial" w:hAnsi="Arial"/>
          <w:b w:val="false"/>
          <w:bCs w:val="false"/>
          <w:sz w:val="20"/>
          <w:szCs w:val="20"/>
        </w:rPr>
        <w:t xml:space="preserve">3b. Verzugsausschluss (Ziff. 4.5) und Haftungsausschlüsse wirken nicht bei Absicht und grober Fahrlässigkeit (Art. 100 OR) – das lässt sich nicht wegbedingen. Die Klauseln sind entsprechend mit Vorbehalt formuliert, damit sie nicht gesamthaft nichtig sind.</w:t>
      </w:r>
    </w:p>
    <w:p>
      <w:pPr>
        <w:spacing w:after="100"/>
        <w:jc w:val="both"/>
      </w:pPr>
      <w:r>
        <w:rPr>
          <w:rFonts w:ascii="Arial" w:cs="Arial" w:eastAsia="Arial" w:hAnsi="Arial"/>
          <w:b w:val="false"/>
          <w:bCs w:val="false"/>
          <w:sz w:val="20"/>
          <w:szCs w:val="20"/>
        </w:rPr>
        <w:t xml:space="preserve">4. Technische Dokumente nachziehen: Die AGB verweisen auf «technische Dokumentation» (Mindest-Puffervolumen, max. Schaltspiele/h, Mindestlaufzeiten, Wasserqualität, Glykolkonzentration, Transport-/Einbringvorgaben). Diese Werte müssen in Montage-/Betriebsanleitungen und Datenblättern tatsächlich ausgewiesen sein, sonst laufen Ziff. 6.5, 9.3 lit. c und 9.5 ins Leere.</w:t>
      </w:r>
    </w:p>
    <w:p>
      <w:pPr>
        <w:spacing w:after="100"/>
        <w:jc w:val="both"/>
      </w:pPr>
      <w:r>
        <w:rPr>
          <w:rFonts w:ascii="Arial" w:cs="Arial" w:eastAsia="Arial" w:hAnsi="Arial"/>
          <w:b w:val="false"/>
          <w:bCs w:val="false"/>
          <w:sz w:val="20"/>
          <w:szCs w:val="20"/>
        </w:rPr>
        <w:t xml:space="preserve">5. Formulare: standardisierte Vorlagen «Funktionsbeschreibung» und «Steuerungsliste» (Ziff. 3.2) erstellen und jeder Offerte/AB beilegen; Eingang dokumentieren, Fehlen schriftlich mahnen und den Produktionsstart nach Werkstandard (Ziff. 3.3) schriftlich anzeigen – diese Anzeige ist im Streitfall Gold wert.</w:t>
      </w:r>
    </w:p>
    <w:p>
      <w:pPr>
        <w:spacing w:after="100"/>
        <w:jc w:val="both"/>
      </w:pPr>
      <w:r>
        <w:rPr>
          <w:rFonts w:ascii="Arial" w:cs="Arial" w:eastAsia="Arial" w:hAnsi="Arial"/>
          <w:b w:val="false"/>
          <w:bCs w:val="false"/>
          <w:sz w:val="20"/>
          <w:szCs w:val="20"/>
        </w:rPr>
        <w:t xml:space="preserve">5a. Tarifliste: Die AGB verweisen auf «jeweils gültige Regieansätze» und «Tarifliste» (Stundenansatz bis CHF 180). Eine datierte, publizierte Tarifliste führen; sonst gilt üblicher Ansatz nach Art. 394 Abs. 3 OR.</w:t>
      </w:r>
    </w:p>
    <w:p>
      <w:pPr>
        <w:spacing w:after="100"/>
        <w:jc w:val="both"/>
      </w:pPr>
      <w:r>
        <w:rPr>
          <w:rFonts w:ascii="Arial" w:cs="Arial" w:eastAsia="Arial" w:hAnsi="Arial"/>
          <w:b w:val="false"/>
          <w:bCs w:val="false"/>
          <w:sz w:val="20"/>
          <w:szCs w:val="20"/>
        </w:rPr>
        <w:t xml:space="preserve">6. IBN-Protokoll anpassen: Feld «Vorbehalte» (fehlender Puffer, Durchfluss, Funktionsbeschreibung/Steuerungsliste fehlt, Glykolkonzentration) mit Frist zur Behebung und Unterschrift des Kunden – Grundlage für Ziff. 9.4 letzter Punkt.</w:t>
      </w:r>
    </w:p>
    <w:p>
      <w:pPr>
        <w:spacing w:after="100"/>
        <w:jc w:val="both"/>
      </w:pPr>
      <w:r>
        <w:rPr>
          <w:rFonts w:ascii="Arial" w:cs="Arial" w:eastAsia="Arial" w:hAnsi="Arial"/>
          <w:b w:val="false"/>
          <w:bCs w:val="false"/>
          <w:sz w:val="20"/>
          <w:szCs w:val="20"/>
        </w:rPr>
        <w:t xml:space="preserve">7. Grenzen: Diese AGB ersetzen keine anwaltliche Einzelfallprüfung. Vor Publikation Review durch einen in der Schweiz zugelassenen Anwalt empfohlen, insbesondere Ziff. 9.5 (Beweisvermutung), Ziff. 10 (Haftungscap), Ziff. 15.2/16 (Konventionalstrafe, Annullierung) und die B2C-Klauseln (Art. 8 UWG). Für EU-Direktgeschäfte mit Verbrauchern wären zusätzliche Regeln nötig (nicht abgedeckt).</w:t>
      </w:r>
    </w:p>
    <w:sectPr>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2026-07-12T15:19:55.635Z</dcterms:created>
  <dcterms:modified xsi:type="dcterms:W3CDTF">2026-07-12T15:19:55.636Z</dcterms:modified>
</cp:coreProperties>
</file>

<file path=docProps/custom.xml><?xml version="1.0" encoding="utf-8"?>
<Properties xmlns="http://schemas.openxmlformats.org/officeDocument/2006/custom-properties" xmlns:vt="http://schemas.openxmlformats.org/officeDocument/2006/docPropsVTypes"/>
</file>