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Detalhada da Página de Recompensas Simulada do TikTok</w:t>
      </w:r>
    </w:p>
    <w:p>
      <w:pPr>
        <w:pStyle w:val="Heading2"/>
        <w:pStyle w:val="MdHeading2"/>
      </w:pPr>
      <w:r>
        <w:t xml:space="preserve">1. Visão Geral</w:t>
      </w:r>
    </w:p>
    <w:p>
      <w:pPr>
        <w:pStyle w:val="MdParagraph"/>
      </w:pPr>
      <w:r>
        <w:t xml:space="preserve">O website </w:t>
      </w:r>
      <w:r>
        <w:rPr>
          <w:rStyle w:val="MdCode"/>
          <w:u w:val="single"/>
        </w:rPr>
        <w:t xml:space="preserve">https://lngmrsgtt.netlify.app/</w:t>
      </w:r>
      <w:r>
        <w:t xml:space="preserve"> apresenta-se como uma página de resgate de recompensas, simulando uma interface de "TikTok Bônus". O objetivo central desta página é engajar o usuário através da promessa de um saldo financeiro acumulado, incentivando-o a prosseguir com um processo de "saque" que, em última instância, solicita o pagamento de uma taxa para a liberação dos valores. A estratégia empregada baseia-se na mimetização da identidade visual e funcional de plataformas conhecidas para gerar uma percepção de legitimidade.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Estrutura e Design da Página</w:t>
      </w:r>
    </w:p>
    <w:p>
      <w:pPr>
        <w:pStyle w:val="MdParagraph"/>
      </w:pPr>
      <w:r>
        <w:t xml:space="preserve">A estética da página é cuidadosamente elaborada para replicar a experiência do usuário em plataformas de mídia social, como o TikTok. A </w:t>
      </w:r>
      <w:r>
        <w:rPr>
          <w:rStyle w:val="MdStrong"/>
          <w:b/>
          <w:bCs/>
        </w:rPr>
        <w:t xml:space="preserve">identidade visual</w:t>
      </w:r>
      <w:r>
        <w:t xml:space="preserve"> incorpora o logotipo do "TikTok Bônus", bem como as fontes e a paleta de cores (predominantemente branco, preto e rosa vibrante) associadas ao aplicativo original. Esta abordagem visa estabelecer uma conexão imediata e uma sensação de familiaridade com o usuário.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Os </w:t>
      </w:r>
      <w:r>
        <w:rPr>
          <w:rStyle w:val="MdStrong"/>
          <w:b/>
          <w:bCs/>
        </w:rPr>
        <w:t xml:space="preserve">elementos de interface</w:t>
      </w:r>
      <w:r>
        <w:t xml:space="preserve"> são dispostos para criar uma narrativa de recompensa e urgência: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Saldo Fictício:</w:t>
      </w:r>
      <w:r>
        <w:t xml:space="preserve"> Um valor monetário substancial (por exemplo, R$ 4.596,72) é exibido de forma proeminente, servindo como um forte atrativo para o usuário. Este saldo é apresentado como um montante já acumulado, despertando o interesse em seu resgate.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Lista de Tarefas Concluídas:</w:t>
      </w:r>
      <w:r>
        <w:t xml:space="preserve"> Uma série de atividades, como "check-in diário", "assistir vídeos" e "pesquisas", são listadas e marcadas como "Concluído". Esta seção é projetada para reforçar a ideia de que o usuário "conquistou" o saldo exibido através de esforços prévios, legitimando a recompensa.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Pop-up de Boas-vindas ("Gol de Prêmios"):</w:t>
      </w:r>
      <w:r>
        <w:t xml:space="preserve"> Um modal interativo surge, parabenizando o usuário por sua participação em uma "campanha de recompensas exclusiva". Este pop-up não apenas reitera o valor da recompensa, mas também inclui um </w:t>
      </w:r>
      <w:r>
        <w:rPr>
          <w:rStyle w:val="MdStrong"/>
          <w:b/>
          <w:bCs/>
        </w:rPr>
        <w:t xml:space="preserve">cronômetro de expiração</w:t>
      </w:r>
      <w:r>
        <w:t xml:space="preserve"> (por exemplo, "Expira em 00:16:38"), um elemento clássico de marketing para criar um senso de urgência e impelir o usuário a agir rapidamente.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Fluxo de Interação do Usuário</w:t>
      </w:r>
    </w:p>
    <w:p>
      <w:pPr>
        <w:pStyle w:val="MdParagraph"/>
      </w:pPr>
      <w:r>
        <w:t xml:space="preserve">O funil de interação é sequencial e guiado, visando conduzir o usuário através de etapas que culminam na solicitação de pagamento: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Página Inicial:</w:t>
      </w:r>
      <w:r>
        <w:t xml:space="preserve"> O usuário é inicialmente confrontado com o saldo fictício e a lista de tarefas supostamente concluídas, criando um cenário de recompensa iminente.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Botão de Saque:</w:t>
      </w:r>
      <w:r>
        <w:t xml:space="preserve"> Ao clicar no botão "Sacar", o usuário é direcionado para uma tela onde pode selecionar o valor a ser "sacado". As opções incluem quantias menores (R$ 1,5, R$ 5, R$ 10) e o saldo total exibido, permitindo uma escolha que valida a percepção de controle do usuário.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Vincular Método de Pagamento:</w:t>
      </w:r>
      <w:r>
        <w:t xml:space="preserve"> A próxima etapa solicita a vinculação de uma chave PIX. Campos para "Nome", "Tipo de Chave PIX" (com opções como CPF, E-mail, Celular, Chave Aleatória) e a "Chave PIX" são apresentados, coletando dados pessoais e financeiros do usuário.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Confirmação de Saque:</w:t>
      </w:r>
      <w:r>
        <w:t xml:space="preserve"> Após o preenchimento dos dados do PIX, uma tela de "Confirmação de Saque" é exibida, preparando o terreno para a etapa final do funil.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Mecanismo de Conversão: A "Taxa de Liberação"</w:t>
      </w:r>
    </w:p>
    <w:p>
      <w:pPr>
        <w:pStyle w:val="MdParagraph"/>
      </w:pPr>
      <w:r>
        <w:t xml:space="preserve">O ponto crucial e o mecanismo de conversão deste funil reside na tela de confirmação de saque. Aqui, o site introduz uma </w:t>
      </w:r>
      <w:r>
        <w:rPr>
          <w:rStyle w:val="MdStrong"/>
          <w:b/>
          <w:bCs/>
        </w:rPr>
        <w:t xml:space="preserve">"Contribuição de Segurança"</w:t>
      </w:r>
      <w:r>
        <w:t xml:space="preserve"> (por exemplo, R$ 19,63). A justificativa apresentada é que esta taxa é "exigida pelo Banco Central para liberação do saque" do valor total. Para mitigar a hesitação do usuário, duas promessas são feitas: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taxa será "devolvida integralmente na sua chave Pix em 1 minuto".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Prova Social Fictícia:</w:t>
      </w:r>
      <w:r>
        <w:t xml:space="preserve"> Depoimentos de supostos usuários (como "Lucas M." e "Amanda S.") são exibidos, afirmando terem pago a taxa e recebido o valor prometido. Esta tática visa construir confiança e reduzir a percepção de risco, incentivando o usuário a efetuar o pagamento da taxa.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Elementos Chave para Modelagem Pessoal</w:t>
      </w:r>
    </w:p>
    <w:p>
      <w:pPr>
        <w:pStyle w:val="MdParagraph"/>
      </w:pPr>
      <w:r>
        <w:t xml:space="preserve">Para a criação de um funil de interação ou uma página promocional para uso pessoal, os seguintes elementos podem ser adaptados, com a ressalva de que a transparência e a ética devem ser priorizadas: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e Aplicação Potencial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Mimetismo de Interface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Replicar elementos de design de plataformas familiares para criar uma sensação de conforto e confiança imediata. Em um contexto ético, isso pode ser usado para criar interfaces intuitivas e de fácil navegação.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Urgência e Escassez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Utilizar cronômetros ou mensagens que sugiram tempo limitado para uma oferta. Para uso pessoal, pode ser aplicado para destacar promoções ou eventos com prazo definido, incentivando a 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Gamificação e Recompensa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Estruturar a interação como um jogo ou desafio, onde o usuário "ganha" algo ao completar etapas. Em um contexto positivo, pode ser usado para engajar usuários em tarefas ou para desbloquear conteúdo exclusivo.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Barreira de Saída Baixa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Apresentar um custo inicial baixo ou um "passo" fácil para acessar um benefício maior. Para uso pessoal, pode ser uma pequena inscrição para acesso a um recurso premium ou um download gratuito que leva a um produto mais completo.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Coleta de Dados Progressiva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Solicitar informações em etapas, começando com o mínimo necessário e pedindo mais detalhes à medida que o usuário avança no funil. Isso pode otimizar a taxa de conversão em formulários de inscrição ou pesquisas.</w:t>
            </w:r>
          </w:p>
        </w:tc>
      </w:tr>
    </w:tbl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TikTok Rewards Simulation. (n.d.). </w:t>
      </w:r>
      <w:r>
        <w:rPr>
          <w:rStyle w:val="MdEm"/>
          <w:i/>
          <w:iCs/>
        </w:rPr>
        <w:t xml:space="preserve">Resgate de Recompensas</w:t>
      </w:r>
      <w:r>
        <w:t xml:space="preserve">. Recuperado de </w:t>
      </w:r>
      <w:hyperlink w:history="1" r:id="rIdjopq2w774gaz2-pb6igeo">
        <w:r>
          <w:rPr>
            <w:rStyle w:val="MdLink"/>
          </w:rPr>
          <w:t xml:space="preserve">https://lngmrsgtt.netlify.app/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opq2w774gaz2-pb6igeo" Type="http://schemas.openxmlformats.org/officeDocument/2006/relationships/hyperlink" Target="https://lngmrsgtt.netlify.app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2026-05-11T23:32:42.977Z</dcterms:created>
  <dcterms:modified xsi:type="dcterms:W3CDTF">2026-05-11T23:32:42.977Z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