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920"/>
        <w:gridCol w:w="1560"/>
      </w:tblGrid>
      <w:tr>
        <w:trPr>
          <w:cantSplit/>
        </w:trPr>
        <w:tc>
          <w:tcPr>
            <w:tcW w:type="dxa" w:w="8920"/>
            <w:tcMar>
              <w:top w:w="0" w:type="dxa"/>
              <w:bottom w:w="0" w:type="dxa"/>
              <w:left w:w="0" w:type="dxa"/>
              <w:right w:w="0" w:type="dxa"/>
            </w:tcMar>
          </w:tcPr>
          <w:p>
            <w:pPr>
              <w:pStyle w:val="Title"/>
              <w:keepNext w:val="0"/>
              <w:widowControl/>
              <w:spacing w:before="0" w:after="120" w:line="620" w:lineRule="exact"/>
            </w:pPr>
            <w:r>
              <w:rPr>
                <w:rFonts w:ascii="Arial" w:hAnsi="Arial"/>
                <w:b/>
                <w:color w:val="000000"/>
                <w:sz w:val="54"/>
              </w:rPr>
              <w:t>VENKATA GANJI</w:t>
            </w:r>
          </w:p>
          <w:p>
            <w:pPr>
              <w:keepNext w:val="0"/>
              <w:widowControl/>
              <w:spacing w:before="0" w:after="60" w:line="220" w:lineRule="exact"/>
            </w:pPr>
            <w:r>
              <w:rPr>
                <w:rFonts w:ascii="Arial" w:hAnsi="Arial"/>
                <w:b/>
                <w:color w:val="007D87"/>
                <w:sz w:val="18"/>
              </w:rPr>
              <w:t>AI PLATFORM SRE | GPU MODEL SERVING &amp; KUBERNETES</w:t>
            </w:r>
          </w:p>
          <w:p>
            <w:pPr>
              <w:keepNext w:val="0"/>
              <w:widowControl/>
              <w:spacing w:before="0" w:after="60" w:line="220" w:lineRule="exact"/>
            </w:pPr>
            <w:r>
              <w:rPr>
                <w:rFonts w:ascii="Arial" w:hAnsi="Arial"/>
                <w:b/>
                <w:color w:val="007D87"/>
                <w:sz w:val="18"/>
              </w:rPr>
              <w:t>SOLUTIONS ARCHITECTURE &amp; ENGINEERING | DISTRIBUTED SYSTEMS</w:t>
            </w:r>
          </w:p>
        </w:tc>
        <w:tc>
          <w:tcPr>
            <w:tcW w:type="dxa" w:w="1560"/>
            <w:tcMar>
              <w:top w:w="0" w:type="dxa"/>
              <w:bottom w:w="0" w:type="dxa"/>
              <w:left w:w="0" w:type="dxa"/>
              <w:right w:w="0" w:type="dxa"/>
            </w:tcMar>
          </w:tcPr>
          <w:p>
            <w:pPr>
              <w:keepNext w:val="0"/>
              <w:widowControl/>
              <w:spacing w:before="0" w:after="0" w:line="240" w:lineRule="auto"/>
              <w:jc w:val="right"/>
            </w:pPr>
            <w:r>
              <w:drawing>
                <wp:inline xmlns:a="http://schemas.openxmlformats.org/drawingml/2006/main" xmlns:pic="http://schemas.openxmlformats.org/drawingml/2006/picture">
                  <wp:extent cx="914400" cy="914400"/>
                  <wp:docPr id="1" name="Picture 1" descr="LinkedIn profile QR code">
                    <a:hlinkClick r:id="rId10"/>
                  </wp:docPr>
                  <wp:cNvGraphicFramePr>
                    <a:graphicFrameLocks noChangeAspect="1"/>
                  </wp:cNvGraphicFramePr>
                  <a:graphic>
                    <a:graphicData uri="http://schemas.openxmlformats.org/drawingml/2006/picture">
                      <pic:pic>
                        <pic:nvPicPr>
                          <pic:cNvPr id="0" name="linkedin-qr.png"/>
                          <pic:cNvPicPr/>
                        </pic:nvPicPr>
                        <pic:blipFill>
                          <a:blip r:embed="rId9"/>
                          <a:stretch>
                            <a:fillRect/>
                          </a:stretch>
                        </pic:blipFill>
                        <pic:spPr>
                          <a:xfrm>
                            <a:off x="0" y="0"/>
                            <a:ext cx="914400" cy="914400"/>
                          </a:xfrm>
                          <a:prstGeom prst="rect"/>
                        </pic:spPr>
                      </pic:pic>
                    </a:graphicData>
                  </a:graphic>
                </wp:inline>
              </w:drawing>
            </w:r>
          </w:p>
        </w:tc>
      </w:tr>
    </w:tbl>
    <w:p>
      <w:pPr>
        <w:keepNext w:val="0"/>
        <w:widowControl/>
        <w:spacing w:before="0" w:after="60" w:line="220" w:lineRule="exact"/>
      </w:pPr>
      <w:r>
        <w:rPr>
          <w:rFonts w:ascii="Arial" w:hAnsi="Arial"/>
          <w:b w:val="0"/>
          <w:color w:val="526372"/>
          <w:sz w:val="17"/>
        </w:rPr>
        <w:t>Concord, CA | 925-322-2650 | venkataganj.careers@gmail.com | No sponsorship required</w:t>
      </w:r>
    </w:p>
    <w:p>
      <w:pPr>
        <w:keepNext w:val="0"/>
        <w:widowControl/>
        <w:spacing w:before="0" w:after="100" w:line="220" w:lineRule="exact"/>
      </w:pPr>
      <w:hyperlink r:id="rId10">
        <w:r>
          <w:rPr>
            <w:rFonts w:ascii="Arial" w:hAnsi="Arial"/>
            <w:sz w:val="17"/>
            <w:color w:val="526372"/>
          </w:rPr>
          <w:t>linkedin.com/in/venkata-sai-ganji-3a30a2a4</w:t>
        </w:r>
      </w:hyperlink>
      <w:r>
        <w:rPr>
          <w:rFonts w:ascii="Arial" w:hAnsi="Arial"/>
          <w:b w:val="0"/>
          <w:color w:val="172F43"/>
          <w:sz w:val="17"/>
        </w:rPr>
        <w:t xml:space="preserve">  |  </w:t>
      </w:r>
      <w:hyperlink r:id="rId11">
        <w:r>
          <w:rPr>
            <w:rFonts w:ascii="Arial" w:hAnsi="Arial"/>
            <w:sz w:val="17"/>
            <w:color w:val="526372"/>
          </w:rPr>
          <w:t>Architecture Portfolio</w:t>
        </w:r>
      </w:hyperlink>
      <w:r>
        <w:rPr>
          <w:rFonts w:ascii="Arial" w:hAnsi="Arial"/>
          <w:b w:val="0"/>
          <w:color w:val="172F43"/>
          <w:sz w:val="17"/>
        </w:rPr>
        <w:t xml:space="preserve">  </w:t>
      </w:r>
      <w:hyperlink r:id="rId11">
        <w:r>
          <w:rPr>
            <w:rFonts w:ascii="Arial" w:hAnsi="Arial"/>
            <w:sz w:val="17"/>
            <w:color w:val="526372"/>
          </w:rPr>
          <w:t>https://offroadguy.github.io/</w:t>
        </w:r>
      </w:hyperlink>
    </w:p>
    <w:p>
      <w:pPr>
        <w:keepNext w:val="0"/>
        <w:widowControl/>
        <w:spacing w:before="0" w:after="60" w:line="260" w:lineRule="exact"/>
      </w:pPr>
      <w:r>
        <w:rPr>
          <w:rFonts w:ascii="Arial" w:hAnsi="Arial"/>
          <w:b/>
          <w:color w:val="172F43"/>
          <w:sz w:val="20"/>
        </w:rPr>
        <w:t>AI infrastructure &amp; distributed systems engineer and solutions architect with 12 years in production.</w:t>
      </w:r>
    </w:p>
    <w:p>
      <w:pPr>
        <w:keepNext w:val="0"/>
        <w:widowControl/>
        <w:spacing w:before="0" w:after="60" w:line="260" w:lineRule="exact"/>
      </w:pPr>
      <w:r>
        <w:rPr>
          <w:rFonts w:ascii="Arial" w:hAnsi="Arial"/>
          <w:b w:val="0"/>
          <w:color w:val="172F43"/>
          <w:sz w:val="20"/>
        </w:rPr>
        <w:t>Across Apple and Freddie Mac engagements and startup environments: shipped production AI tooling, led critical migrations, and owned platform reliability through launch, incident recovery, and verification.</w:t>
      </w:r>
    </w:p>
    <w:p>
      <w:pPr>
        <w:pStyle w:val="Heading1"/>
        <w:keepNext/>
        <w:widowControl/>
        <w:spacing w:before="140" w:after="80" w:line="240" w:lineRule="exact"/>
      </w:pPr>
      <w:r>
        <w:rPr>
          <w:rFonts w:ascii="Arial" w:hAnsi="Arial"/>
          <w:b/>
          <w:color w:val="007D87"/>
          <w:sz w:val="18"/>
        </w:rPr>
        <w:t>ENTERPRISE AI PLATFORM AND MY CONTRIBUTION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480"/>
      </w:tblGrid>
      <w:tr>
        <w:trPr>
          <w:cantSplit/>
        </w:trPr>
        <w:tc>
          <w:tcPr>
            <w:tcW w:type="dxa" w:w="10480"/>
            <w:tcMar>
              <w:top w:w="0" w:type="dxa"/>
              <w:bottom w:w="0" w:type="dxa"/>
              <w:left w:w="0" w:type="dxa"/>
              <w:right w:w="0" w:type="dxa"/>
            </w:tcMar>
            <w:tcMar>
              <w:top w:w="60" w:type="dxa"/>
              <w:bottom w:w="60" w:type="dxa"/>
              <w:left w:w="180" w:type="dxa"/>
              <w:right w:w="180" w:type="dxa"/>
            </w:tcMar>
            <w:shd w:fill="F0F2F4"/>
            <w:tcBorders>
              <w:top w:val="single" w:sz="8" w:color="FFFFFF"/>
              <w:bottom w:val="single" w:sz="8" w:color="FFFFFF"/>
              <w:left w:val="single" w:sz="8" w:color="FFFFFF"/>
              <w:right w:val="single" w:sz="8" w:color="FFFFFF"/>
            </w:tcBorders>
          </w:tcPr>
          <w:p>
            <w:pPr>
              <w:keepNext/>
              <w:widowControl/>
              <w:spacing w:before="0" w:after="0" w:line="230" w:lineRule="exact"/>
            </w:pPr>
            <w:r>
              <w:rPr>
                <w:rFonts w:ascii="Arial" w:hAnsi="Arial"/>
                <w:b w:val="0"/>
                <w:color w:val="172F43"/>
                <w:sz w:val="18"/>
              </w:rPr>
              <w:t>PLATFORM SCOPE  Enterprise chat | Document intelligence | Agent applications | Studio UIs &amp; APIs</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480"/>
      </w:tblGrid>
      <w:tr>
        <w:trPr>
          <w:cantSplit/>
        </w:trPr>
        <w:tc>
          <w:tcPr>
            <w:tcW w:type="dxa" w:w="10480"/>
            <w:tcMar>
              <w:top w:w="0" w:type="dxa"/>
              <w:bottom w:w="0" w:type="dxa"/>
              <w:left w:w="0" w:type="dxa"/>
              <w:right w:w="0" w:type="dxa"/>
            </w:tcMar>
            <w:tcMar>
              <w:top w:w="60" w:type="dxa"/>
              <w:bottom w:w="60" w:type="dxa"/>
              <w:left w:w="180" w:type="dxa"/>
              <w:right w:w="180" w:type="dxa"/>
            </w:tcMar>
            <w:shd w:fill="E4F1ED"/>
            <w:tcBorders>
              <w:top w:val="single" w:sz="8" w:color="FFFFFF"/>
              <w:bottom w:val="single" w:sz="8" w:color="FFFFFF"/>
              <w:left w:val="single" w:sz="8" w:color="FFFFFF"/>
              <w:right w:val="single" w:sz="8" w:color="FFFFFF"/>
            </w:tcBorders>
          </w:tcPr>
          <w:p>
            <w:pPr>
              <w:keepNext/>
              <w:widowControl/>
              <w:spacing w:before="0" w:after="0" w:line="230" w:lineRule="exact"/>
            </w:pPr>
            <w:r>
              <w:rPr>
                <w:rFonts w:ascii="Arial" w:hAnsi="Arial"/>
                <w:b/>
                <w:color w:val="205D50"/>
                <w:sz w:val="17"/>
              </w:rPr>
              <w:t>OWNED ONBOARDING AND PRODUCTION OPERATIONS</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493"/>
        <w:gridCol w:w="3493"/>
        <w:gridCol w:w="3493"/>
      </w:tblGrid>
      <w:tr>
        <w:trPr>
          <w:cantSplit/>
        </w:trPr>
        <w:tc>
          <w:tcPr>
            <w:tcW w:type="dxa" w:w="3493"/>
            <w:tcMar>
              <w:top w:w="0" w:type="dxa"/>
              <w:bottom w:w="0" w:type="dxa"/>
              <w:left w:w="0" w:type="dxa"/>
              <w:right w:w="0" w:type="dxa"/>
            </w:tcMar>
            <w:tcMar>
              <w:top w:w="100" w:type="dxa"/>
              <w:bottom w:w="100" w:type="dxa"/>
              <w:left w:w="180" w:type="dxa"/>
              <w:right w:w="180" w:type="dxa"/>
            </w:tcMar>
            <w:shd w:fill="F0F2F4"/>
            <w:tcBorders>
              <w:top w:val="single" w:sz="8" w:color="FFFFFF"/>
              <w:bottom w:val="single" w:sz="8" w:color="FFFFFF"/>
              <w:left w:val="single" w:sz="8" w:color="FFFFFF"/>
              <w:right w:val="single" w:sz="8" w:color="FFFFFF"/>
            </w:tcBorders>
          </w:tcPr>
          <w:p>
            <w:pPr>
              <w:keepNext/>
              <w:widowControl/>
              <w:spacing w:before="0" w:after="40" w:line="240" w:lineRule="exact"/>
            </w:pPr>
            <w:r>
              <w:rPr>
                <w:rFonts w:ascii="Arial" w:hAnsi="Arial"/>
                <w:b/>
                <w:color w:val="172F43"/>
                <w:sz w:val="19"/>
              </w:rPr>
              <w:t>Ingestion &amp; documents</w:t>
            </w:r>
          </w:p>
          <w:p>
            <w:pPr>
              <w:keepNext/>
              <w:widowControl/>
              <w:spacing w:before="0" w:after="0" w:line="230" w:lineRule="exact"/>
            </w:pPr>
            <w:r>
              <w:rPr>
                <w:rFonts w:ascii="Arial" w:hAnsi="Arial"/>
                <w:b w:val="0"/>
                <w:color w:val="526372"/>
                <w:sz w:val="18"/>
              </w:rPr>
              <w:t>Connectors, parsing, chunking, proprietary document conversion</w:t>
            </w:r>
          </w:p>
        </w:tc>
        <w:tc>
          <w:tcPr>
            <w:tcW w:type="dxa" w:w="3493"/>
            <w:tcMar>
              <w:top w:w="0" w:type="dxa"/>
              <w:bottom w:w="0" w:type="dxa"/>
              <w:left w:w="0" w:type="dxa"/>
              <w:right w:w="0" w:type="dxa"/>
            </w:tcMar>
            <w:tcMar>
              <w:top w:w="100" w:type="dxa"/>
              <w:bottom w:w="100" w:type="dxa"/>
              <w:left w:w="180" w:type="dxa"/>
              <w:right w:w="180" w:type="dxa"/>
            </w:tcMar>
            <w:shd w:fill="F0F2F4"/>
            <w:tcBorders>
              <w:top w:val="single" w:sz="8" w:color="FFFFFF"/>
              <w:bottom w:val="single" w:sz="8" w:color="FFFFFF"/>
              <w:left w:val="single" w:sz="8" w:color="FFFFFF"/>
              <w:right w:val="single" w:sz="8" w:color="FFFFFF"/>
            </w:tcBorders>
          </w:tcPr>
          <w:p>
            <w:pPr>
              <w:keepNext/>
              <w:widowControl/>
              <w:spacing w:before="0" w:after="40" w:line="240" w:lineRule="exact"/>
            </w:pPr>
            <w:r>
              <w:rPr>
                <w:rFonts w:ascii="Arial" w:hAnsi="Arial"/>
                <w:b/>
                <w:color w:val="172F43"/>
                <w:sz w:val="19"/>
              </w:rPr>
              <w:t>Retrieval &amp; agents</w:t>
            </w:r>
          </w:p>
          <w:p>
            <w:pPr>
              <w:keepNext/>
              <w:widowControl/>
              <w:spacing w:before="0" w:after="0" w:line="230" w:lineRule="exact"/>
            </w:pPr>
            <w:r>
              <w:rPr>
                <w:rFonts w:ascii="Arial" w:hAnsi="Arial"/>
                <w:b w:val="0"/>
                <w:color w:val="526372"/>
                <w:sz w:val="18"/>
              </w:rPr>
              <w:t>Search, embeddings, memory, orchestration, MCP/tools, guardrails</w:t>
            </w:r>
          </w:p>
        </w:tc>
        <w:tc>
          <w:tcPr>
            <w:tcW w:type="dxa" w:w="3493"/>
            <w:tcMar>
              <w:top w:w="0" w:type="dxa"/>
              <w:bottom w:w="0" w:type="dxa"/>
              <w:left w:w="0" w:type="dxa"/>
              <w:right w:w="0" w:type="dxa"/>
            </w:tcMar>
            <w:tcMar>
              <w:top w:w="100" w:type="dxa"/>
              <w:bottom w:w="100" w:type="dxa"/>
              <w:left w:w="180" w:type="dxa"/>
              <w:right w:w="180" w:type="dxa"/>
            </w:tcMar>
            <w:shd w:fill="EDF2FA"/>
            <w:tcBorders>
              <w:top w:val="single" w:sz="8" w:color="FFFFFF"/>
              <w:bottom w:val="single" w:sz="8" w:color="FFFFFF"/>
              <w:left w:val="single" w:sz="8" w:color="FFFFFF"/>
              <w:right w:val="single" w:sz="8" w:color="FFFFFF"/>
            </w:tcBorders>
          </w:tcPr>
          <w:p>
            <w:pPr>
              <w:keepNext/>
              <w:widowControl/>
              <w:spacing w:before="0" w:after="40" w:line="240" w:lineRule="exact"/>
            </w:pPr>
            <w:r>
              <w:rPr>
                <w:rFonts w:ascii="Arial" w:hAnsi="Arial"/>
                <w:b/>
                <w:color w:val="172F43"/>
                <w:sz w:val="19"/>
              </w:rPr>
              <w:t>GPU model serving</w:t>
            </w:r>
          </w:p>
          <w:p>
            <w:pPr>
              <w:keepNext/>
              <w:widowControl/>
              <w:spacing w:before="0" w:after="0" w:line="230" w:lineRule="exact"/>
            </w:pPr>
            <w:r>
              <w:rPr>
                <w:rFonts w:ascii="Arial" w:hAnsi="Arial"/>
                <w:b w:val="0"/>
                <w:color w:val="526372"/>
                <w:sz w:val="18"/>
              </w:rPr>
              <w:t>Open-weight models, vLLM, weight staging, LoRA adapters</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480"/>
      </w:tblGrid>
      <w:tr>
        <w:trPr>
          <w:cantSplit/>
        </w:trPr>
        <w:tc>
          <w:tcPr>
            <w:tcW w:type="dxa" w:w="10480"/>
            <w:tcMar>
              <w:top w:w="0" w:type="dxa"/>
              <w:bottom w:w="0" w:type="dxa"/>
              <w:left w:w="0" w:type="dxa"/>
              <w:right w:w="0" w:type="dxa"/>
            </w:tcMar>
            <w:tcMar>
              <w:top w:w="60" w:type="dxa"/>
              <w:bottom w:w="60" w:type="dxa"/>
              <w:left w:w="180" w:type="dxa"/>
              <w:right w:w="180" w:type="dxa"/>
            </w:tcMar>
            <w:shd w:fill="E4F1ED"/>
            <w:tcBorders>
              <w:top w:val="single" w:sz="8" w:color="FFFFFF"/>
              <w:bottom w:val="single" w:sz="8" w:color="FFFFFF"/>
              <w:left w:val="single" w:sz="8" w:color="FFFFFF"/>
              <w:right w:val="single" w:sz="8" w:color="FFFFFF"/>
            </w:tcBorders>
          </w:tcPr>
          <w:p>
            <w:pPr>
              <w:keepNext/>
              <w:widowControl/>
              <w:spacing w:before="0" w:after="0" w:line="230" w:lineRule="exact"/>
            </w:pPr>
            <w:r>
              <w:rPr>
                <w:rFonts w:ascii="Arial" w:hAnsi="Arial"/>
                <w:b/>
                <w:color w:val="205D50"/>
                <w:sz w:val="17"/>
              </w:rPr>
              <w:t>OWNED DATA OPERATIONS  Vector DBs (Solr, Milvus, OpenSearch), Redis, MongoDB, Elasticsearch &amp; Kafka</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480"/>
      </w:tblGrid>
      <w:tr>
        <w:trPr>
          <w:cantSplit/>
        </w:trPr>
        <w:tc>
          <w:tcPr>
            <w:tcW w:type="dxa" w:w="10480"/>
            <w:tcMar>
              <w:top w:w="0" w:type="dxa"/>
              <w:bottom w:w="0" w:type="dxa"/>
              <w:left w:w="0" w:type="dxa"/>
              <w:right w:w="0" w:type="dxa"/>
            </w:tcMar>
            <w:tcMar>
              <w:top w:w="60" w:type="dxa"/>
              <w:bottom w:w="60" w:type="dxa"/>
              <w:left w:w="180" w:type="dxa"/>
              <w:right w:w="180" w:type="dxa"/>
            </w:tcMar>
            <w:shd w:fill="E4F1ED"/>
            <w:tcBorders>
              <w:top w:val="single" w:sz="8" w:color="FFFFFF"/>
              <w:bottom w:val="single" w:sz="8" w:color="FFFFFF"/>
              <w:left w:val="single" w:sz="8" w:color="FFFFFF"/>
              <w:right w:val="single" w:sz="8" w:color="FFFFFF"/>
            </w:tcBorders>
          </w:tcPr>
          <w:p>
            <w:pPr>
              <w:keepNext/>
              <w:widowControl/>
              <w:spacing w:before="0" w:after="0" w:line="230" w:lineRule="exact"/>
            </w:pPr>
            <w:r>
              <w:rPr>
                <w:rFonts w:ascii="Arial" w:hAnsi="Arial"/>
                <w:b/>
                <w:color w:val="205D50"/>
                <w:sz w:val="18"/>
              </w:rPr>
              <w:t>OWNED PLATFORM OPERATIONS  Kubernetes, GitOps/IaC, ops tooling, metrics/logs, dashboards/alerts, capacity, cost &amp; DR</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480"/>
      </w:tblGrid>
      <w:tr>
        <w:trPr>
          <w:cantSplit/>
        </w:trPr>
        <w:tc>
          <w:tcPr>
            <w:tcW w:type="dxa" w:w="10480"/>
            <w:tcMar>
              <w:top w:w="0" w:type="dxa"/>
              <w:bottom w:w="0" w:type="dxa"/>
              <w:left w:w="0" w:type="dxa"/>
              <w:right w:w="0" w:type="dxa"/>
            </w:tcMar>
            <w:tcMar>
              <w:top w:w="60" w:type="dxa"/>
              <w:bottom w:w="60" w:type="dxa"/>
              <w:left w:w="180" w:type="dxa"/>
              <w:right w:w="180" w:type="dxa"/>
            </w:tcMar>
            <w:shd w:fill="EAF0FA"/>
            <w:tcBorders>
              <w:top w:val="single" w:sz="8" w:color="FFFFFF"/>
              <w:bottom w:val="single" w:sz="8" w:color="FFFFFF"/>
              <w:left w:val="single" w:sz="8" w:color="FFFFFF"/>
              <w:right w:val="single" w:sz="8" w:color="FFFFFF"/>
            </w:tcBorders>
          </w:tcPr>
          <w:p>
            <w:pPr>
              <w:keepNext/>
              <w:widowControl/>
              <w:spacing w:before="0" w:after="0" w:line="230" w:lineRule="exact"/>
            </w:pPr>
            <w:r>
              <w:rPr>
                <w:rFonts w:ascii="Arial" w:hAnsi="Arial"/>
                <w:b/>
                <w:color w:val="315879"/>
                <w:sz w:val="18"/>
              </w:rPr>
              <w:t>OWNED  GPU serving infrastructure, deployment tooling and model-weight onboarding</w:t>
            </w:r>
          </w:p>
        </w:tc>
      </w:tr>
    </w:tbl>
    <w:p>
      <w:pPr>
        <w:keepNext w:val="0"/>
        <w:widowControl/>
        <w:spacing w:before="0" w:after="100" w:line="220" w:lineRule="exact"/>
      </w:pPr>
      <w:r>
        <w:rPr>
          <w:rFonts w:ascii="Arial" w:hAnsi="Arial"/>
          <w:b w:val="0"/>
          <w:color w:val="526372"/>
          <w:sz w:val="17"/>
        </w:rPr>
        <w:t>Platform footprint: AWS | GCP | Alibaba Cloud | Apple private cloud</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493"/>
        <w:gridCol w:w="3493"/>
        <w:gridCol w:w="3493"/>
      </w:tblGrid>
      <w:tr>
        <w:trPr>
          <w:cantSplit/>
        </w:trPr>
        <w:tc>
          <w:tcPr>
            <w:tcW w:type="dxa" w:w="3493"/>
            <w:tcMar>
              <w:top w:w="0" w:type="dxa"/>
              <w:bottom w:w="0" w:type="dxa"/>
              <w:left w:w="0" w:type="dxa"/>
              <w:right w:w="0" w:type="dxa"/>
            </w:tcMar>
            <w:tcMar>
              <w:top w:w="80" w:type="dxa"/>
              <w:bottom w:w="80" w:type="dxa"/>
              <w:left w:w="180" w:type="dxa"/>
              <w:right w:w="180" w:type="dxa"/>
            </w:tcMar>
            <w:shd w:fill="F5F0E7"/>
            <w:tcBorders>
              <w:top w:val="single" w:sz="8" w:color="FFFFFF"/>
              <w:bottom w:val="single" w:sz="8" w:color="FFFFFF"/>
              <w:left w:val="single" w:sz="8" w:color="FFFFFF"/>
              <w:right w:val="single" w:sz="8" w:color="FFFFFF"/>
            </w:tcBorders>
          </w:tcPr>
          <w:p>
            <w:pPr>
              <w:keepNext/>
              <w:widowControl/>
              <w:spacing w:before="0" w:after="20" w:line="260" w:lineRule="exact"/>
            </w:pPr>
            <w:r>
              <w:rPr>
                <w:rFonts w:ascii="Arial" w:hAnsi="Arial"/>
                <w:b/>
                <w:color w:val="172F43"/>
                <w:sz w:val="22"/>
              </w:rPr>
              <w:t>250+ nodes / ~200 TB</w:t>
            </w:r>
          </w:p>
          <w:p>
            <w:pPr>
              <w:keepNext/>
              <w:widowControl/>
              <w:spacing w:before="0" w:after="0" w:line="200" w:lineRule="exact"/>
            </w:pPr>
            <w:r>
              <w:rPr>
                <w:rFonts w:ascii="Arial" w:hAnsi="Arial"/>
                <w:b w:val="0"/>
                <w:color w:val="526372"/>
                <w:sz w:val="16"/>
              </w:rPr>
              <w:t>Vector database infrastructure</w:t>
            </w:r>
          </w:p>
        </w:tc>
        <w:tc>
          <w:tcPr>
            <w:tcW w:type="dxa" w:w="3493"/>
            <w:tcMar>
              <w:top w:w="0" w:type="dxa"/>
              <w:bottom w:w="0" w:type="dxa"/>
              <w:left w:w="0" w:type="dxa"/>
              <w:right w:w="0" w:type="dxa"/>
            </w:tcMar>
            <w:tcMar>
              <w:top w:w="80" w:type="dxa"/>
              <w:bottom w:w="80" w:type="dxa"/>
              <w:left w:w="180" w:type="dxa"/>
              <w:right w:w="180" w:type="dxa"/>
            </w:tcMar>
            <w:shd w:fill="F5F0E7"/>
            <w:tcBorders>
              <w:top w:val="single" w:sz="8" w:color="FFFFFF"/>
              <w:bottom w:val="single" w:sz="8" w:color="FFFFFF"/>
              <w:left w:val="single" w:sz="8" w:color="FFFFFF"/>
              <w:right w:val="single" w:sz="8" w:color="FFFFFF"/>
            </w:tcBorders>
          </w:tcPr>
          <w:p>
            <w:pPr>
              <w:keepNext/>
              <w:widowControl/>
              <w:spacing w:before="0" w:after="20" w:line="260" w:lineRule="exact"/>
            </w:pPr>
            <w:r>
              <w:rPr>
                <w:rFonts w:ascii="Arial" w:hAnsi="Arial"/>
                <w:b/>
                <w:color w:val="172F43"/>
                <w:sz w:val="22"/>
              </w:rPr>
              <w:t>~7.0s to ~1.9s</w:t>
            </w:r>
          </w:p>
          <w:p>
            <w:pPr>
              <w:keepNext/>
              <w:widowControl/>
              <w:spacing w:before="0" w:after="0" w:line="200" w:lineRule="exact"/>
            </w:pPr>
            <w:r>
              <w:rPr>
                <w:rFonts w:ascii="Arial" w:hAnsi="Arial"/>
                <w:b w:val="0"/>
                <w:color w:val="526372"/>
                <w:sz w:val="16"/>
              </w:rPr>
              <w:t>Vector-query latency</w:t>
            </w:r>
          </w:p>
        </w:tc>
        <w:tc>
          <w:tcPr>
            <w:tcW w:type="dxa" w:w="3493"/>
            <w:tcMar>
              <w:top w:w="0" w:type="dxa"/>
              <w:bottom w:w="0" w:type="dxa"/>
              <w:left w:w="0" w:type="dxa"/>
              <w:right w:w="0" w:type="dxa"/>
            </w:tcMar>
            <w:tcMar>
              <w:top w:w="80" w:type="dxa"/>
              <w:bottom w:w="80" w:type="dxa"/>
              <w:left w:w="180" w:type="dxa"/>
              <w:right w:w="180" w:type="dxa"/>
            </w:tcMar>
            <w:shd w:fill="F5F0E7"/>
            <w:tcBorders>
              <w:top w:val="single" w:sz="8" w:color="FFFFFF"/>
              <w:bottom w:val="single" w:sz="8" w:color="FFFFFF"/>
              <w:left w:val="single" w:sz="8" w:color="FFFFFF"/>
              <w:right w:val="single" w:sz="8" w:color="FFFFFF"/>
            </w:tcBorders>
          </w:tcPr>
          <w:p>
            <w:pPr>
              <w:keepNext/>
              <w:widowControl/>
              <w:spacing w:before="0" w:after="20" w:line="260" w:lineRule="exact"/>
            </w:pPr>
            <w:r>
              <w:rPr>
                <w:rFonts w:ascii="Arial" w:hAnsi="Arial"/>
                <w:b/>
                <w:color w:val="172F43"/>
                <w:sz w:val="22"/>
              </w:rPr>
              <w:t>$500K+ combined savings</w:t>
            </w:r>
          </w:p>
          <w:p>
            <w:pPr>
              <w:keepNext/>
              <w:widowControl/>
              <w:spacing w:before="0" w:after="0" w:line="200" w:lineRule="exact"/>
            </w:pPr>
            <w:r>
              <w:rPr>
                <w:rFonts w:ascii="Arial" w:hAnsi="Arial"/>
                <w:b w:val="0"/>
                <w:color w:val="526372"/>
                <w:sz w:val="16"/>
              </w:rPr>
              <w:t>Solr + Mac infrastructure</w:t>
            </w:r>
          </w:p>
        </w:tc>
      </w:tr>
    </w:tbl>
    <w:p>
      <w:pPr>
        <w:pStyle w:val="Heading1"/>
        <w:keepNext/>
        <w:widowControl/>
        <w:spacing w:before="140" w:after="80" w:line="240" w:lineRule="exact"/>
      </w:pPr>
      <w:r>
        <w:rPr>
          <w:rFonts w:ascii="Arial" w:hAnsi="Arial"/>
          <w:b/>
          <w:color w:val="007D87"/>
          <w:sz w:val="18"/>
        </w:rPr>
        <w:t>PROFESSIONAL EXPERIENCE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100"/>
        <w:gridCol w:w="6980"/>
        <w:gridCol w:w="2400"/>
      </w:tblGrid>
      <w:tr>
        <w:trPr>
          <w:cantSplit/>
        </w:trPr>
        <w:tc>
          <w:tcPr>
            <w:tcW w:type="dxa" w:w="1100"/>
            <w:tcMar>
              <w:top w:w="0" w:type="dxa"/>
              <w:bottom w:w="0" w:type="dxa"/>
              <w:left w:w="0" w:type="dxa"/>
              <w:right w:w="0" w:type="dxa"/>
            </w:tcMar>
            <w:vAlign w:val="center"/>
          </w:tcPr>
          <w:p>
            <w:pPr>
              <w:keepNext/>
              <w:widowControl/>
              <w:spacing w:before="0" w:after="0" w:line="240" w:lineRule="auto"/>
              <w:jc w:val="center"/>
            </w:pPr>
            <w:r>
              <w:drawing>
                <wp:inline xmlns:a="http://schemas.openxmlformats.org/drawingml/2006/main" xmlns:pic="http://schemas.openxmlformats.org/drawingml/2006/picture">
                  <wp:extent cx="216942" cy="266700"/>
                  <wp:docPr id="2" name="Picture 2" descr="Apple logo"/>
                  <wp:cNvGraphicFramePr>
                    <a:graphicFrameLocks noChangeAspect="1"/>
                  </wp:cNvGraphicFramePr>
                  <a:graphic>
                    <a:graphicData uri="http://schemas.openxmlformats.org/drawingml/2006/picture">
                      <pic:pic>
                        <pic:nvPicPr>
                          <pic:cNvPr id="0" name="apple.png"/>
                          <pic:cNvPicPr/>
                        </pic:nvPicPr>
                        <pic:blipFill>
                          <a:blip r:embed="rId12"/>
                          <a:stretch>
                            <a:fillRect/>
                          </a:stretch>
                        </pic:blipFill>
                        <pic:spPr>
                          <a:xfrm>
                            <a:off x="0" y="0"/>
                            <a:ext cx="216942" cy="266700"/>
                          </a:xfrm>
                          <a:prstGeom prst="rect"/>
                        </pic:spPr>
                      </pic:pic>
                    </a:graphicData>
                  </a:graphic>
                </wp:inline>
              </w:drawing>
            </w:r>
          </w:p>
        </w:tc>
        <w:tc>
          <w:tcPr>
            <w:tcW w:type="dxa" w:w="6980"/>
            <w:tcMar>
              <w:top w:w="0" w:type="dxa"/>
              <w:bottom w:w="0" w:type="dxa"/>
              <w:left w:w="0" w:type="dxa"/>
              <w:right w:w="0" w:type="dxa"/>
            </w:tcMar>
          </w:tcPr>
          <w:p>
            <w:pPr>
              <w:keepNext/>
              <w:widowControl/>
              <w:spacing w:before="0" w:after="40" w:line="260" w:lineRule="exact"/>
            </w:pPr>
            <w:r>
              <w:rPr>
                <w:rFonts w:ascii="Arial" w:hAnsi="Arial"/>
                <w:b/>
                <w:color w:val="172F43"/>
                <w:sz w:val="22"/>
              </w:rPr>
              <w:t>Apple</w:t>
            </w:r>
          </w:p>
          <w:p>
            <w:pPr>
              <w:keepNext/>
              <w:widowControl/>
              <w:spacing w:before="0" w:after="60" w:line="240" w:lineRule="exact"/>
            </w:pPr>
            <w:r>
              <w:rPr>
                <w:rFonts w:ascii="Arial" w:hAnsi="Arial"/>
                <w:b w:val="0"/>
                <w:color w:val="172F43"/>
                <w:sz w:val="18"/>
              </w:rPr>
              <w:t>GenAI Platform Engineering &amp; Cloud Architect</w:t>
            </w:r>
          </w:p>
        </w:tc>
        <w:tc>
          <w:tcPr>
            <w:tcW w:type="dxa" w:w="2400"/>
            <w:tcMar>
              <w:top w:w="0" w:type="dxa"/>
              <w:bottom w:w="0" w:type="dxa"/>
              <w:left w:w="0" w:type="dxa"/>
              <w:right w:w="0" w:type="dxa"/>
            </w:tcMar>
          </w:tcPr>
          <w:p>
            <w:pPr>
              <w:keepNext/>
              <w:widowControl/>
              <w:spacing w:before="0" w:after="0" w:line="300" w:lineRule="exact"/>
              <w:jc w:val="right"/>
            </w:pPr>
            <w:r>
              <w:rPr>
                <w:rFonts w:ascii="Arial" w:hAnsi="Arial"/>
                <w:b w:val="0"/>
                <w:color w:val="526372"/>
                <w:sz w:val="18"/>
              </w:rPr>
              <w:t>Apr 2024 - Aug 2026</w:t>
            </w:r>
          </w:p>
        </w:tc>
      </w:tr>
    </w:tbl>
    <w:p>
      <w:pPr>
        <w:keepNext/>
        <w:widowControl/>
        <w:spacing w:before="0" w:after="80" w:line="220" w:lineRule="exact"/>
      </w:pPr>
      <w:r>
        <w:rPr>
          <w:rFonts w:ascii="Arial" w:hAnsi="Arial"/>
          <w:b w:val="0"/>
          <w:color w:val="526372"/>
          <w:sz w:val="18"/>
        </w:rPr>
        <w:t>Contract via Mphasis Corp | Enterprise AI infrastructure and platform operations</w:t>
      </w:r>
    </w:p>
    <w:p>
      <w:pPr>
        <w:keepNext/>
        <w:widowControl/>
        <w:spacing w:before="0" w:after="80" w:line="240" w:lineRule="exact"/>
      </w:pPr>
      <w:r>
        <w:drawing>
          <wp:inline xmlns:a="http://schemas.openxmlformats.org/drawingml/2006/main" xmlns:pic="http://schemas.openxmlformats.org/drawingml/2006/picture">
            <wp:extent cx="127000" cy="127000"/>
            <wp:docPr id="3" name="Picture 3" descr="NVIDIA logo"/>
            <wp:cNvGraphicFramePr>
              <a:graphicFrameLocks noChangeAspect="1"/>
            </wp:cNvGraphicFramePr>
            <a:graphic>
              <a:graphicData uri="http://schemas.openxmlformats.org/drawingml/2006/picture">
                <pic:pic>
                  <pic:nvPicPr>
                    <pic:cNvPr id="0" name="nvidia.png"/>
                    <pic:cNvPicPr/>
                  </pic:nvPicPr>
                  <pic:blipFill>
                    <a:blip r:embed="rId13"/>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NVIDIA</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4" name="Picture 4" descr="Solr logo"/>
            <wp:cNvGraphicFramePr>
              <a:graphicFrameLocks noChangeAspect="1"/>
            </wp:cNvGraphicFramePr>
            <a:graphic>
              <a:graphicData uri="http://schemas.openxmlformats.org/drawingml/2006/picture">
                <pic:pic>
                  <pic:nvPicPr>
                    <pic:cNvPr id="0" name="solr.png"/>
                    <pic:cNvPicPr/>
                  </pic:nvPicPr>
                  <pic:blipFill>
                    <a:blip r:embed="rId14"/>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Solr</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5" name="Picture 5" descr="AWS logo"/>
            <wp:cNvGraphicFramePr>
              <a:graphicFrameLocks noChangeAspect="1"/>
            </wp:cNvGraphicFramePr>
            <a:graphic>
              <a:graphicData uri="http://schemas.openxmlformats.org/drawingml/2006/picture">
                <pic:pic>
                  <pic:nvPicPr>
                    <pic:cNvPr id="0" name="aws.png"/>
                    <pic:cNvPicPr/>
                  </pic:nvPicPr>
                  <pic:blipFill>
                    <a:blip r:embed="rId15"/>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AWS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6" name="Picture 6" descr="GCP logo"/>
            <wp:cNvGraphicFramePr>
              <a:graphicFrameLocks noChangeAspect="1"/>
            </wp:cNvGraphicFramePr>
            <a:graphic>
              <a:graphicData uri="http://schemas.openxmlformats.org/drawingml/2006/picture">
                <pic:pic>
                  <pic:nvPicPr>
                    <pic:cNvPr id="0" name="gcp.png"/>
                    <pic:cNvPicPr/>
                  </pic:nvPicPr>
                  <pic:blipFill>
                    <a:blip r:embed="rId16"/>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GCP</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7" name="Picture 7" descr="MongoDB logo"/>
            <wp:cNvGraphicFramePr>
              <a:graphicFrameLocks noChangeAspect="1"/>
            </wp:cNvGraphicFramePr>
            <a:graphic>
              <a:graphicData uri="http://schemas.openxmlformats.org/drawingml/2006/picture">
                <pic:pic>
                  <pic:nvPicPr>
                    <pic:cNvPr id="0" name="mongodb.png"/>
                    <pic:cNvPicPr/>
                  </pic:nvPicPr>
                  <pic:blipFill>
                    <a:blip r:embed="rId17"/>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MongoDB</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8" name="Picture 8" descr="K8s logo"/>
            <wp:cNvGraphicFramePr>
              <a:graphicFrameLocks noChangeAspect="1"/>
            </wp:cNvGraphicFramePr>
            <a:graphic>
              <a:graphicData uri="http://schemas.openxmlformats.org/drawingml/2006/picture">
                <pic:pic>
                  <pic:nvPicPr>
                    <pic:cNvPr id="0" name="kubernetes.png"/>
                    <pic:cNvPicPr/>
                  </pic:nvPicPr>
                  <pic:blipFill>
                    <a:blip r:embed="rId18"/>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K8s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9" name="Picture 9" descr="Prometheus logo"/>
            <wp:cNvGraphicFramePr>
              <a:graphicFrameLocks noChangeAspect="1"/>
            </wp:cNvGraphicFramePr>
            <a:graphic>
              <a:graphicData uri="http://schemas.openxmlformats.org/drawingml/2006/picture">
                <pic:pic>
                  <pic:nvPicPr>
                    <pic:cNvPr id="0" name="prometheus.png"/>
                    <pic:cNvPicPr/>
                  </pic:nvPicPr>
                  <pic:blipFill>
                    <a:blip r:embed="rId19"/>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Prometheus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0" name="Picture 10" descr="Terraform logo"/>
            <wp:cNvGraphicFramePr>
              <a:graphicFrameLocks noChangeAspect="1"/>
            </wp:cNvGraphicFramePr>
            <a:graphic>
              <a:graphicData uri="http://schemas.openxmlformats.org/drawingml/2006/picture">
                <pic:pic>
                  <pic:nvPicPr>
                    <pic:cNvPr id="0" name="terraform.png"/>
                    <pic:cNvPicPr/>
                  </pic:nvPicPr>
                  <pic:blipFill>
                    <a:blip r:embed="rId20"/>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Terraform</w:t>
      </w:r>
      <w:r>
        <w:br/>
      </w:r>
      <w:r>
        <w:drawing>
          <wp:inline xmlns:a="http://schemas.openxmlformats.org/drawingml/2006/main" xmlns:pic="http://schemas.openxmlformats.org/drawingml/2006/picture">
            <wp:extent cx="127000" cy="127000"/>
            <wp:docPr id="11" name="Picture 11" descr="vLLM logo"/>
            <wp:cNvGraphicFramePr>
              <a:graphicFrameLocks noChangeAspect="1"/>
            </wp:cNvGraphicFramePr>
            <a:graphic>
              <a:graphicData uri="http://schemas.openxmlformats.org/drawingml/2006/picture">
                <pic:pic>
                  <pic:nvPicPr>
                    <pic:cNvPr id="0" name="vllm.png"/>
                    <pic:cNvPicPr/>
                  </pic:nvPicPr>
                  <pic:blipFill>
                    <a:blip r:embed="rId21"/>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vLLM</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2" name="Picture 12" descr="Hugging Face logo"/>
            <wp:cNvGraphicFramePr>
              <a:graphicFrameLocks noChangeAspect="1"/>
            </wp:cNvGraphicFramePr>
            <a:graphic>
              <a:graphicData uri="http://schemas.openxmlformats.org/drawingml/2006/picture">
                <pic:pic>
                  <pic:nvPicPr>
                    <pic:cNvPr id="0" name="huggingface.png"/>
                    <pic:cNvPicPr/>
                  </pic:nvPicPr>
                  <pic:blipFill>
                    <a:blip r:embed="rId22"/>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Hugging Face</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3" name="Picture 13" descr="Helm logo"/>
            <wp:cNvGraphicFramePr>
              <a:graphicFrameLocks noChangeAspect="1"/>
            </wp:cNvGraphicFramePr>
            <a:graphic>
              <a:graphicData uri="http://schemas.openxmlformats.org/drawingml/2006/picture">
                <pic:pic>
                  <pic:nvPicPr>
                    <pic:cNvPr id="0" name="helm.png"/>
                    <pic:cNvPicPr/>
                  </pic:nvPicPr>
                  <pic:blipFill>
                    <a:blip r:embed="rId23"/>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Helm</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4" name="Picture 14" descr="Argo CD logo"/>
            <wp:cNvGraphicFramePr>
              <a:graphicFrameLocks noChangeAspect="1"/>
            </wp:cNvGraphicFramePr>
            <a:graphic>
              <a:graphicData uri="http://schemas.openxmlformats.org/drawingml/2006/picture">
                <pic:pic>
                  <pic:nvPicPr>
                    <pic:cNvPr id="0" name="argo.png"/>
                    <pic:cNvPicPr/>
                  </pic:nvPicPr>
                  <pic:blipFill>
                    <a:blip r:embed="rId24"/>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Argo CD</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5" name="Picture 15" descr="Grafana logo"/>
            <wp:cNvGraphicFramePr>
              <a:graphicFrameLocks noChangeAspect="1"/>
            </wp:cNvGraphicFramePr>
            <a:graphic>
              <a:graphicData uri="http://schemas.openxmlformats.org/drawingml/2006/picture">
                <pic:pic>
                  <pic:nvPicPr>
                    <pic:cNvPr id="0" name="grafana.png"/>
                    <pic:cNvPicPr/>
                  </pic:nvPicPr>
                  <pic:blipFill>
                    <a:blip r:embed="rId25"/>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Grafana</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6" name="Picture 16" descr="Disaster recovery logo"/>
            <wp:cNvGraphicFramePr>
              <a:graphicFrameLocks noChangeAspect="1"/>
            </wp:cNvGraphicFramePr>
            <a:graphic>
              <a:graphicData uri="http://schemas.openxmlformats.org/drawingml/2006/picture">
                <pic:pic>
                  <pic:nvPicPr>
                    <pic:cNvPr id="0" name="dr.png"/>
                    <pic:cNvPicPr/>
                  </pic:nvPicPr>
                  <pic:blipFill>
                    <a:blip r:embed="rId26"/>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Disaster recovery</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7" name="Picture 17" descr="High availability logo"/>
            <wp:cNvGraphicFramePr>
              <a:graphicFrameLocks noChangeAspect="1"/>
            </wp:cNvGraphicFramePr>
            <a:graphic>
              <a:graphicData uri="http://schemas.openxmlformats.org/drawingml/2006/picture">
                <pic:pic>
                  <pic:nvPicPr>
                    <pic:cNvPr id="0" name="ha.png"/>
                    <pic:cNvPicPr/>
                  </pic:nvPicPr>
                  <pic:blipFill>
                    <a:blip r:embed="rId27"/>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High availability</w:t>
      </w:r>
    </w:p>
    <w:p>
      <w:pPr>
        <w:keepLines/>
        <w:ind w:left="180" w:hanging="180"/>
      </w:pPr>
      <w:r>
        <w:rPr>
          <w:rFonts w:ascii="Arial" w:hAnsi="Arial"/>
          <w:b w:val="0"/>
          <w:color w:val="172F43"/>
          <w:sz w:val="20"/>
        </w:rPr>
        <w:t xml:space="preserve">- </w:t>
      </w:r>
      <w:r>
        <w:rPr>
          <w:rFonts w:ascii="Arial" w:hAnsi="Arial"/>
          <w:b w:val="0"/>
          <w:color w:val="172F43"/>
          <w:sz w:val="20"/>
        </w:rPr>
        <w:t>Shipped deployment workflows for 10+ GenAI ingestion and inference microservices across Dev/UAT/Prod. Owned Kubernetes/EKS operations, upgrades, routing, autoscaling, resource sizing, and production diagnosis.</w:t>
      </w:r>
    </w:p>
    <w:p>
      <w:pPr>
        <w:keepLines/>
        <w:ind w:left="180" w:hanging="180"/>
      </w:pPr>
      <w:r>
        <w:rPr>
          <w:rFonts w:ascii="Arial" w:hAnsi="Arial"/>
          <w:b w:val="0"/>
          <w:color w:val="172F43"/>
          <w:sz w:val="20"/>
        </w:rPr>
        <w:t xml:space="preserve">- </w:t>
      </w:r>
      <w:r>
        <w:rPr>
          <w:rFonts w:ascii="Arial" w:hAnsi="Arial"/>
          <w:b w:val="0"/>
          <w:color w:val="172F43"/>
          <w:sz w:val="20"/>
        </w:rPr>
        <w:t>Shipped and owned GPU model-serving and onboarding tooling using Helm/Argo CD and custom vLLM images; configured tensor parallelism, GPU memory budgets, context limits, and LoRA. Built S3-to-FSx weight staging with checksum validation and read-only serving mounts.</w:t>
      </w:r>
    </w:p>
    <w:p>
      <w:pPr>
        <w:keepLines/>
        <w:ind w:left="180" w:hanging="180"/>
      </w:pPr>
      <w:r>
        <w:rPr>
          <w:rFonts w:ascii="Arial" w:hAnsi="Arial"/>
          <w:b w:val="0"/>
          <w:color w:val="172F43"/>
          <w:sz w:val="20"/>
        </w:rPr>
        <w:t xml:space="preserve">- </w:t>
      </w:r>
      <w:r>
        <w:rPr>
          <w:rFonts w:ascii="Arial" w:hAnsi="Arial"/>
          <w:b w:val="0"/>
          <w:color w:val="172F43"/>
          <w:sz w:val="20"/>
        </w:rPr>
        <w:t xml:space="preserve">Owned vector database capacity and reliability across Solr, Milvus, and OpenSearch; scaled to </w:t>
      </w:r>
      <w:r>
        <w:rPr>
          <w:rFonts w:ascii="Arial" w:hAnsi="Arial"/>
          <w:b/>
          <w:color w:val="172F43"/>
          <w:sz w:val="20"/>
        </w:rPr>
        <w:t>250+ nodes</w:t>
      </w:r>
      <w:r>
        <w:rPr>
          <w:rFonts w:ascii="Arial" w:hAnsi="Arial"/>
          <w:b w:val="0"/>
          <w:color w:val="172F43"/>
          <w:sz w:val="20"/>
        </w:rPr>
        <w:t xml:space="preserve"> / </w:t>
      </w:r>
      <w:r>
        <w:rPr>
          <w:rFonts w:ascii="Arial" w:hAnsi="Arial"/>
          <w:b/>
          <w:color w:val="172F43"/>
          <w:sz w:val="20"/>
        </w:rPr>
        <w:t>~200 TB</w:t>
      </w:r>
      <w:r>
        <w:rPr>
          <w:rFonts w:ascii="Arial" w:hAnsi="Arial"/>
          <w:b w:val="0"/>
          <w:color w:val="172F43"/>
          <w:sz w:val="20"/>
        </w:rPr>
        <w:t xml:space="preserve"> and cut query latency from </w:t>
      </w:r>
      <w:r>
        <w:rPr>
          <w:rFonts w:ascii="Arial" w:hAnsi="Arial"/>
          <w:b/>
          <w:color w:val="172F43"/>
          <w:sz w:val="20"/>
        </w:rPr>
        <w:t>~7.0s to ~1.9s</w:t>
      </w:r>
      <w:r>
        <w:rPr>
          <w:rFonts w:ascii="Arial" w:hAnsi="Arial"/>
          <w:b w:val="0"/>
          <w:color w:val="172F43"/>
          <w:sz w:val="20"/>
        </w:rPr>
        <w:t xml:space="preserve"> through JVM/GC, OS, cache, query, and index tuning.</w:t>
      </w:r>
    </w:p>
    <w:p>
      <w:pPr>
        <w:keepLines/>
        <w:ind w:left="180" w:hanging="180"/>
      </w:pPr>
      <w:r>
        <w:rPr>
          <w:rFonts w:ascii="Arial" w:hAnsi="Arial"/>
          <w:b w:val="0"/>
          <w:color w:val="172F43"/>
          <w:sz w:val="20"/>
        </w:rPr>
        <w:t xml:space="preserve">- </w:t>
      </w:r>
      <w:r>
        <w:rPr>
          <w:rFonts w:ascii="Arial" w:hAnsi="Arial"/>
          <w:b w:val="0"/>
          <w:color w:val="172F43"/>
          <w:sz w:val="20"/>
        </w:rPr>
        <w:t>Owned database and messaging operations across vector stores, Redis, MongoDB, Elasticsearch, and Kafka. Shipped Solr IaC and lifecycle tooling with Terraform, CloudFormation, Ansible, and Python for provisioning, health checks, backups, recovery, and cleanup.</w:t>
      </w:r>
    </w:p>
    <w:p>
      <w:pPr>
        <w:keepLines/>
        <w:ind w:left="180" w:hanging="180"/>
      </w:pPr>
      <w:r>
        <w:rPr>
          <w:rFonts w:ascii="Arial" w:hAnsi="Arial"/>
          <w:b w:val="0"/>
          <w:color w:val="172F43"/>
          <w:sz w:val="20"/>
        </w:rPr>
        <w:t xml:space="preserve">- </w:t>
      </w:r>
      <w:r>
        <w:rPr>
          <w:rFonts w:ascii="Arial" w:hAnsi="Arial"/>
          <w:b w:val="0"/>
          <w:color w:val="172F43"/>
          <w:sz w:val="20"/>
        </w:rPr>
        <w:t xml:space="preserve">Owned observability from metrics and logs to dashboards and alerts; helped reduce incidents from </w:t>
      </w:r>
      <w:r>
        <w:rPr>
          <w:rFonts w:ascii="Arial" w:hAnsi="Arial"/>
          <w:b/>
          <w:color w:val="172F43"/>
          <w:sz w:val="20"/>
        </w:rPr>
        <w:t>~20/day to ~2/week</w:t>
      </w:r>
      <w:r>
        <w:rPr>
          <w:rFonts w:ascii="Arial" w:hAnsi="Arial"/>
          <w:b w:val="0"/>
          <w:color w:val="172F43"/>
          <w:sz w:val="20"/>
        </w:rPr>
        <w:t xml:space="preserve"> through automation, performance tuning, and recurring-failure remediation.</w:t>
      </w:r>
    </w:p>
    <w:p>
      <w:pPr>
        <w:keepLines/>
        <w:ind w:left="180" w:hanging="180"/>
      </w:pPr>
      <w:r>
        <w:rPr>
          <w:rFonts w:ascii="Arial" w:hAnsi="Arial"/>
          <w:b w:val="0"/>
          <w:color w:val="172F43"/>
          <w:sz w:val="20"/>
        </w:rPr>
        <w:t xml:space="preserve">- </w:t>
      </w:r>
      <w:r>
        <w:rPr>
          <w:rFonts w:ascii="Arial" w:hAnsi="Arial"/>
          <w:b w:val="0"/>
          <w:color w:val="172F43"/>
          <w:sz w:val="20"/>
        </w:rPr>
        <w:t xml:space="preserve">Migrated 200 Solr nodes to AWS Graviton/ARM64, preserving throughput while saving </w:t>
      </w:r>
      <w:r>
        <w:rPr>
          <w:rFonts w:ascii="Arial" w:hAnsi="Arial"/>
          <w:b/>
          <w:color w:val="172F43"/>
          <w:sz w:val="20"/>
        </w:rPr>
        <w:t>19.8%</w:t>
      </w:r>
      <w:r>
        <w:rPr>
          <w:rFonts w:ascii="Arial" w:hAnsi="Arial"/>
          <w:b w:val="0"/>
          <w:color w:val="172F43"/>
          <w:sz w:val="20"/>
        </w:rPr>
        <w:t xml:space="preserve"> (</w:t>
      </w:r>
      <w:r>
        <w:rPr>
          <w:rFonts w:ascii="Arial" w:hAnsi="Arial"/>
          <w:b/>
          <w:color w:val="172F43"/>
          <w:sz w:val="20"/>
        </w:rPr>
        <w:t>$266K+ annualized</w:t>
      </w:r>
      <w:r>
        <w:rPr>
          <w:rFonts w:ascii="Arial" w:hAnsi="Arial"/>
          <w:b w:val="0"/>
          <w:color w:val="172F43"/>
          <w:sz w:val="20"/>
        </w:rPr>
        <w:t xml:space="preserve">); productionized EC2 Mac document conversion with application developers, saving </w:t>
      </w:r>
      <w:r>
        <w:rPr>
          <w:rFonts w:ascii="Arial" w:hAnsi="Arial"/>
          <w:b/>
          <w:color w:val="172F43"/>
          <w:sz w:val="20"/>
        </w:rPr>
        <w:t>~$16K/month</w:t>
      </w:r>
      <w:r>
        <w:rPr>
          <w:rFonts w:ascii="Arial" w:hAnsi="Arial"/>
          <w:b w:val="0"/>
          <w:color w:val="172F43"/>
          <w:sz w:val="20"/>
        </w:rPr>
        <w:t>.</w:t>
      </w:r>
    </w:p>
    <w:p>
      <w:pPr>
        <w:keepNext/>
        <w:widowControl/>
        <w:spacing w:before="60" w:after="40" w:line="210" w:lineRule="exact"/>
      </w:pPr>
      <w:r>
        <w:rPr>
          <w:rFonts w:ascii="Arial" w:hAnsi="Arial"/>
          <w:b/>
          <w:color w:val="007D87"/>
          <w:sz w:val="17"/>
        </w:rPr>
        <w:t xml:space="preserve">NEXT INFERENCE FOCUS  </w:t>
      </w:r>
      <w:r>
        <w:rPr>
          <w:rFonts w:ascii="Arial" w:hAnsi="Arial"/>
          <w:b w:val="0"/>
          <w:color w:val="172F43"/>
          <w:sz w:val="17"/>
        </w:rPr>
        <w:t>Ready to build on production vLLM experience and take on deeper inference engineering deliverables using GenAI-Perf, SGLang and LMCache.</w:t>
      </w:r>
    </w:p>
    <w:p>
      <w:pPr>
        <w:keepNext w:val="0"/>
        <w:widowControl/>
        <w:spacing w:before="0" w:after="0" w:line="240" w:lineRule="exact"/>
      </w:pPr>
      <w:r>
        <w:drawing>
          <wp:inline xmlns:a="http://schemas.openxmlformats.org/drawingml/2006/main" xmlns:pic="http://schemas.openxmlformats.org/drawingml/2006/picture">
            <wp:extent cx="127000" cy="127000"/>
            <wp:docPr id="18" name="Picture 18" descr="GenAI-Perf logo"/>
            <wp:cNvGraphicFramePr>
              <a:graphicFrameLocks noChangeAspect="1"/>
            </wp:cNvGraphicFramePr>
            <a:graphic>
              <a:graphicData uri="http://schemas.openxmlformats.org/drawingml/2006/picture">
                <pic:pic>
                  <pic:nvPicPr>
                    <pic:cNvPr id="0" name="nvidia.png"/>
                    <pic:cNvPicPr/>
                  </pic:nvPicPr>
                  <pic:blipFill>
                    <a:blip r:embed="rId13"/>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GenAI-Perf</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19" name="Picture 19" descr="SGLang logo"/>
            <wp:cNvGraphicFramePr>
              <a:graphicFrameLocks noChangeAspect="1"/>
            </wp:cNvGraphicFramePr>
            <a:graphic>
              <a:graphicData uri="http://schemas.openxmlformats.org/drawingml/2006/picture">
                <pic:pic>
                  <pic:nvPicPr>
                    <pic:cNvPr id="0" name="sglang.png"/>
                    <pic:cNvPicPr/>
                  </pic:nvPicPr>
                  <pic:blipFill>
                    <a:blip r:embed="rId28"/>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SGLang</w:t>
      </w:r>
      <w:r>
        <w:rPr>
          <w:rFonts w:ascii="Arial" w:hAnsi="Arial"/>
          <w:b w:val="0"/>
          <w:color w:val="172F43"/>
          <w:sz w:val="15"/>
        </w:rPr>
        <w:t xml:space="preserve">   </w:t>
      </w:r>
      <w:r>
        <w:drawing>
          <wp:inline xmlns:a="http://schemas.openxmlformats.org/drawingml/2006/main" xmlns:pic="http://schemas.openxmlformats.org/drawingml/2006/picture">
            <wp:extent cx="127000" cy="41030"/>
            <wp:docPr id="20" name="Picture 20" descr="LMCache logo"/>
            <wp:cNvGraphicFramePr>
              <a:graphicFrameLocks noChangeAspect="1"/>
            </wp:cNvGraphicFramePr>
            <a:graphic>
              <a:graphicData uri="http://schemas.openxmlformats.org/drawingml/2006/picture">
                <pic:pic>
                  <pic:nvPicPr>
                    <pic:cNvPr id="0" name="lmcache.png"/>
                    <pic:cNvPicPr/>
                  </pic:nvPicPr>
                  <pic:blipFill>
                    <a:blip r:embed="rId29"/>
                    <a:stretch>
                      <a:fillRect/>
                    </a:stretch>
                  </pic:blipFill>
                  <pic:spPr>
                    <a:xfrm>
                      <a:off x="0" y="0"/>
                      <a:ext cx="127000" cy="41030"/>
                    </a:xfrm>
                    <a:prstGeom prst="rect"/>
                  </pic:spPr>
                </pic:pic>
              </a:graphicData>
            </a:graphic>
          </wp:inline>
        </w:drawing>
      </w:r>
      <w:r>
        <w:rPr>
          <w:rFonts w:ascii="Arial" w:hAnsi="Arial"/>
          <w:b w:val="0"/>
          <w:color w:val="172F43"/>
          <w:sz w:val="15"/>
        </w:rPr>
        <w:t xml:space="preserve"> </w:t>
      </w:r>
      <w:r>
        <w:rPr>
          <w:rFonts w:ascii="Arial" w:hAnsi="Arial"/>
          <w:b w:val="0"/>
          <w:color w:val="526372"/>
          <w:sz w:val="15"/>
        </w:rPr>
        <w:t>LMCache</w:t>
      </w:r>
    </w:p>
    <w:p>
      <w:pPr>
        <w:keepNext w:val="0"/>
        <w:widowControl/>
        <w:spacing w:before="0" w:after="0" w:line="20" w:lineRule="exact"/>
      </w:pPr>
      <w:r>
        <w:br w:type="page"/>
      </w:r>
    </w:p>
    <w:p>
      <w:pPr>
        <w:pStyle w:val="Heading1"/>
        <w:keepNext/>
        <w:widowControl/>
        <w:spacing w:before="140" w:after="80" w:line="240" w:lineRule="exact"/>
      </w:pPr>
      <w:r>
        <w:rPr>
          <w:rFonts w:ascii="Arial" w:hAnsi="Arial"/>
          <w:b/>
          <w:color w:val="007D87"/>
          <w:sz w:val="18"/>
        </w:rPr>
        <w:t>CLOUDWICK TECHNOLOGIES INC   |   APR 2014 - APR 2024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100"/>
        <w:gridCol w:w="6980"/>
        <w:gridCol w:w="2400"/>
      </w:tblGrid>
      <w:tr>
        <w:trPr>
          <w:cantSplit/>
        </w:trPr>
        <w:tc>
          <w:tcPr>
            <w:tcW w:type="dxa" w:w="1100"/>
            <w:tcMar>
              <w:top w:w="0" w:type="dxa"/>
              <w:bottom w:w="0" w:type="dxa"/>
              <w:left w:w="0" w:type="dxa"/>
              <w:right w:w="0" w:type="dxa"/>
            </w:tcMar>
            <w:vAlign w:val="center"/>
          </w:tcPr>
          <w:p>
            <w:pPr>
              <w:keepNext/>
              <w:widowControl/>
              <w:spacing w:before="0" w:after="0" w:line="240" w:lineRule="auto"/>
              <w:jc w:val="center"/>
            </w:pPr>
            <w:r>
              <w:drawing>
                <wp:inline xmlns:a="http://schemas.openxmlformats.org/drawingml/2006/main" xmlns:pic="http://schemas.openxmlformats.org/drawingml/2006/picture">
                  <wp:extent cx="546100" cy="139283"/>
                  <wp:docPr id="21" name="Picture 21" descr="Amgen logo"/>
                  <wp:cNvGraphicFramePr>
                    <a:graphicFrameLocks noChangeAspect="1"/>
                  </wp:cNvGraphicFramePr>
                  <a:graphic>
                    <a:graphicData uri="http://schemas.openxmlformats.org/drawingml/2006/picture">
                      <pic:pic>
                        <pic:nvPicPr>
                          <pic:cNvPr id="0" name="amgen.png"/>
                          <pic:cNvPicPr/>
                        </pic:nvPicPr>
                        <pic:blipFill>
                          <a:blip r:embed="rId30"/>
                          <a:stretch>
                            <a:fillRect/>
                          </a:stretch>
                        </pic:blipFill>
                        <pic:spPr>
                          <a:xfrm>
                            <a:off x="0" y="0"/>
                            <a:ext cx="546100" cy="139283"/>
                          </a:xfrm>
                          <a:prstGeom prst="rect"/>
                        </pic:spPr>
                      </pic:pic>
                    </a:graphicData>
                  </a:graphic>
                </wp:inline>
              </w:drawing>
            </w:r>
          </w:p>
        </w:tc>
        <w:tc>
          <w:tcPr>
            <w:tcW w:type="dxa" w:w="6980"/>
            <w:tcMar>
              <w:top w:w="0" w:type="dxa"/>
              <w:bottom w:w="0" w:type="dxa"/>
              <w:left w:w="0" w:type="dxa"/>
              <w:right w:w="0" w:type="dxa"/>
            </w:tcMar>
          </w:tcPr>
          <w:p>
            <w:pPr>
              <w:keepNext/>
              <w:widowControl/>
              <w:spacing w:before="0" w:after="40" w:line="260" w:lineRule="exact"/>
            </w:pPr>
            <w:r>
              <w:rPr>
                <w:rFonts w:ascii="Arial" w:hAnsi="Arial"/>
                <w:b/>
                <w:color w:val="172F43"/>
                <w:sz w:val="22"/>
              </w:rPr>
              <w:t>Amgen</w:t>
            </w:r>
          </w:p>
          <w:p>
            <w:pPr>
              <w:keepNext/>
              <w:widowControl/>
              <w:spacing w:before="0" w:after="60" w:line="240" w:lineRule="exact"/>
            </w:pPr>
            <w:r>
              <w:rPr>
                <w:rFonts w:ascii="Arial" w:hAnsi="Arial"/>
                <w:b w:val="0"/>
                <w:color w:val="172F43"/>
                <w:sz w:val="18"/>
              </w:rPr>
              <w:t>AWS Cloud Solutions &amp; Migration Engineer</w:t>
            </w:r>
          </w:p>
        </w:tc>
        <w:tc>
          <w:tcPr>
            <w:tcW w:type="dxa" w:w="2400"/>
            <w:tcMar>
              <w:top w:w="0" w:type="dxa"/>
              <w:bottom w:w="0" w:type="dxa"/>
              <w:left w:w="0" w:type="dxa"/>
              <w:right w:w="0" w:type="dxa"/>
            </w:tcMar>
          </w:tcPr>
          <w:p>
            <w:pPr>
              <w:keepNext/>
              <w:widowControl/>
              <w:spacing w:before="0" w:after="0" w:line="300" w:lineRule="exact"/>
              <w:jc w:val="right"/>
            </w:pPr>
            <w:r>
              <w:rPr>
                <w:rFonts w:ascii="Arial" w:hAnsi="Arial"/>
                <w:b w:val="0"/>
                <w:color w:val="526372"/>
                <w:sz w:val="18"/>
              </w:rPr>
              <w:t>Sep 2023 - Apr 2024</w:t>
            </w:r>
          </w:p>
        </w:tc>
      </w:tr>
    </w:tbl>
    <w:p>
      <w:pPr>
        <w:keepNext/>
        <w:widowControl/>
        <w:spacing w:before="0" w:after="80" w:line="220" w:lineRule="exact"/>
      </w:pPr>
      <w:r>
        <w:rPr>
          <w:rFonts w:ascii="Arial" w:hAnsi="Arial"/>
          <w:b w:val="0"/>
          <w:color w:val="526372"/>
          <w:sz w:val="18"/>
        </w:rPr>
        <w:t>Cloudwick client engagement</w:t>
      </w:r>
    </w:p>
    <w:p>
      <w:pPr>
        <w:keepLines/>
        <w:ind w:left="180" w:hanging="180"/>
      </w:pPr>
      <w:r>
        <w:rPr>
          <w:rFonts w:ascii="Arial" w:hAnsi="Arial"/>
          <w:b w:val="0"/>
          <w:color w:val="172F43"/>
          <w:sz w:val="20"/>
        </w:rPr>
        <w:t xml:space="preserve">- </w:t>
      </w:r>
      <w:r>
        <w:rPr>
          <w:rFonts w:ascii="Arial" w:hAnsi="Arial"/>
          <w:b w:val="0"/>
          <w:color w:val="172F43"/>
          <w:sz w:val="20"/>
        </w:rPr>
        <w:t xml:space="preserve">Migrated </w:t>
      </w:r>
      <w:r>
        <w:rPr>
          <w:rFonts w:ascii="Arial" w:hAnsi="Arial"/>
          <w:b/>
          <w:color w:val="172F43"/>
          <w:sz w:val="20"/>
        </w:rPr>
        <w:t>100+ AWS accounts</w:t>
      </w:r>
      <w:r>
        <w:rPr>
          <w:rFonts w:ascii="Arial" w:hAnsi="Arial"/>
          <w:b w:val="0"/>
          <w:color w:val="172F43"/>
          <w:sz w:val="20"/>
        </w:rPr>
        <w:t xml:space="preserve"> to Control Tower and Organizations using repeatable Python, CloudFormation, CDK, and SSM workflows; implemented secure S3 migrations with IAM/KMS.</w:t>
      </w:r>
    </w:p>
    <w:p>
      <w:pPr>
        <w:keepLines/>
        <w:ind w:left="180" w:hanging="180"/>
      </w:pPr>
      <w:r>
        <w:rPr>
          <w:rFonts w:ascii="Arial" w:hAnsi="Arial"/>
          <w:b w:val="0"/>
          <w:color w:val="172F43"/>
          <w:sz w:val="20"/>
        </w:rPr>
        <w:t xml:space="preserve">- </w:t>
      </w:r>
      <w:r>
        <w:rPr>
          <w:rFonts w:ascii="Arial" w:hAnsi="Arial"/>
          <w:b w:val="0"/>
          <w:color w:val="172F43"/>
          <w:sz w:val="20"/>
        </w:rPr>
        <w:t>Tuned vector databases, resolved GenAI ingestion failures, and built Kubernetes deployment pipelines and Python monitoring integrations.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100"/>
        <w:gridCol w:w="6980"/>
        <w:gridCol w:w="2400"/>
      </w:tblGrid>
      <w:tr>
        <w:trPr>
          <w:cantSplit/>
        </w:trPr>
        <w:tc>
          <w:tcPr>
            <w:tcW w:type="dxa" w:w="1100"/>
            <w:tcMar>
              <w:top w:w="0" w:type="dxa"/>
              <w:bottom w:w="0" w:type="dxa"/>
              <w:left w:w="0" w:type="dxa"/>
              <w:right w:w="0" w:type="dxa"/>
            </w:tcMar>
            <w:vAlign w:val="center"/>
          </w:tcPr>
          <w:p>
            <w:pPr>
              <w:keepNext/>
              <w:widowControl/>
              <w:spacing w:before="0" w:after="0" w:line="240" w:lineRule="auto"/>
              <w:jc w:val="center"/>
            </w:pPr>
            <w:r>
              <w:drawing>
                <wp:inline xmlns:a="http://schemas.openxmlformats.org/drawingml/2006/main" xmlns:pic="http://schemas.openxmlformats.org/drawingml/2006/picture">
                  <wp:extent cx="546100" cy="124480"/>
                  <wp:docPr id="22" name="Picture 22" descr="Freddie Mac logo"/>
                  <wp:cNvGraphicFramePr>
                    <a:graphicFrameLocks noChangeAspect="1"/>
                  </wp:cNvGraphicFramePr>
                  <a:graphic>
                    <a:graphicData uri="http://schemas.openxmlformats.org/drawingml/2006/picture">
                      <pic:pic>
                        <pic:nvPicPr>
                          <pic:cNvPr id="0" name="freddie.png"/>
                          <pic:cNvPicPr/>
                        </pic:nvPicPr>
                        <pic:blipFill>
                          <a:blip r:embed="rId31"/>
                          <a:stretch>
                            <a:fillRect/>
                          </a:stretch>
                        </pic:blipFill>
                        <pic:spPr>
                          <a:xfrm>
                            <a:off x="0" y="0"/>
                            <a:ext cx="546100" cy="124480"/>
                          </a:xfrm>
                          <a:prstGeom prst="rect"/>
                        </pic:spPr>
                      </pic:pic>
                    </a:graphicData>
                  </a:graphic>
                </wp:inline>
              </w:drawing>
            </w:r>
          </w:p>
        </w:tc>
        <w:tc>
          <w:tcPr>
            <w:tcW w:type="dxa" w:w="6980"/>
            <w:tcMar>
              <w:top w:w="0" w:type="dxa"/>
              <w:bottom w:w="0" w:type="dxa"/>
              <w:left w:w="0" w:type="dxa"/>
              <w:right w:w="0" w:type="dxa"/>
            </w:tcMar>
          </w:tcPr>
          <w:p>
            <w:pPr>
              <w:keepNext/>
              <w:widowControl/>
              <w:spacing w:before="0" w:after="40" w:line="260" w:lineRule="exact"/>
            </w:pPr>
            <w:r>
              <w:rPr>
                <w:rFonts w:ascii="Arial" w:hAnsi="Arial"/>
                <w:b/>
                <w:color w:val="172F43"/>
                <w:sz w:val="22"/>
              </w:rPr>
              <w:t>Freddie Mac</w:t>
            </w:r>
          </w:p>
          <w:p>
            <w:pPr>
              <w:keepNext/>
              <w:widowControl/>
              <w:spacing w:before="0" w:after="60" w:line="240" w:lineRule="exact"/>
            </w:pPr>
            <w:r>
              <w:rPr>
                <w:rFonts w:ascii="Arial" w:hAnsi="Arial"/>
                <w:b w:val="0"/>
                <w:color w:val="172F43"/>
                <w:sz w:val="18"/>
              </w:rPr>
              <w:t>AWS Cloud Solutions Architect &amp; Infrastructure Consultant</w:t>
            </w:r>
          </w:p>
        </w:tc>
        <w:tc>
          <w:tcPr>
            <w:tcW w:type="dxa" w:w="2400"/>
            <w:tcMar>
              <w:top w:w="0" w:type="dxa"/>
              <w:bottom w:w="0" w:type="dxa"/>
              <w:left w:w="0" w:type="dxa"/>
              <w:right w:w="0" w:type="dxa"/>
            </w:tcMar>
          </w:tcPr>
          <w:p>
            <w:pPr>
              <w:keepNext/>
              <w:widowControl/>
              <w:spacing w:before="0" w:after="0" w:line="300" w:lineRule="exact"/>
              <w:jc w:val="right"/>
            </w:pPr>
            <w:r>
              <w:rPr>
                <w:rFonts w:ascii="Arial" w:hAnsi="Arial"/>
                <w:b w:val="0"/>
                <w:color w:val="526372"/>
                <w:sz w:val="18"/>
              </w:rPr>
              <w:t>Jan 2019 - Aug 2023</w:t>
            </w:r>
          </w:p>
        </w:tc>
      </w:tr>
    </w:tbl>
    <w:p>
      <w:pPr>
        <w:keepNext/>
        <w:widowControl/>
        <w:spacing w:before="0" w:after="80" w:line="220" w:lineRule="exact"/>
      </w:pPr>
      <w:r>
        <w:rPr>
          <w:rFonts w:ascii="Arial" w:hAnsi="Arial"/>
          <w:b w:val="0"/>
          <w:color w:val="526372"/>
          <w:sz w:val="18"/>
        </w:rPr>
        <w:t>Cloudwick client | Technical leadership for 3-8 engineers across 5+ projects</w:t>
      </w:r>
    </w:p>
    <w:p>
      <w:pPr>
        <w:keepNext/>
        <w:widowControl/>
        <w:spacing w:before="0" w:after="80" w:line="240" w:lineRule="exact"/>
      </w:pPr>
      <w:r>
        <w:drawing>
          <wp:inline xmlns:a="http://schemas.openxmlformats.org/drawingml/2006/main" xmlns:pic="http://schemas.openxmlformats.org/drawingml/2006/picture">
            <wp:extent cx="127000" cy="127000"/>
            <wp:docPr id="23" name="Picture 23" descr="AWS logo"/>
            <wp:cNvGraphicFramePr>
              <a:graphicFrameLocks noChangeAspect="1"/>
            </wp:cNvGraphicFramePr>
            <a:graphic>
              <a:graphicData uri="http://schemas.openxmlformats.org/drawingml/2006/picture">
                <pic:pic>
                  <pic:nvPicPr>
                    <pic:cNvPr id="0" name="aws.png"/>
                    <pic:cNvPicPr/>
                  </pic:nvPicPr>
                  <pic:blipFill>
                    <a:blip r:embed="rId15"/>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AWS</w:t>
      </w:r>
      <w:r>
        <w:rPr>
          <w:rFonts w:ascii="Arial" w:hAnsi="Arial"/>
          <w:b w:val="0"/>
          <w:color w:val="172F43"/>
          <w:sz w:val="15"/>
        </w:rPr>
        <w:t xml:space="preserve">   </w:t>
      </w:r>
      <w:r>
        <w:rPr>
          <w:rFonts w:ascii="Arial" w:hAnsi="Arial"/>
          <w:b/>
          <w:color w:val="007D87"/>
          <w:sz w:val="15"/>
        </w:rPr>
        <w:t xml:space="preserve">• </w:t>
      </w:r>
      <w:r>
        <w:rPr>
          <w:rFonts w:ascii="Arial" w:hAnsi="Arial"/>
          <w:b w:val="0"/>
          <w:color w:val="526372"/>
          <w:sz w:val="15"/>
        </w:rPr>
        <w:t>Disaster recovery</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24" name="Picture 24" descr="S3 logo"/>
            <wp:cNvGraphicFramePr>
              <a:graphicFrameLocks noChangeAspect="1"/>
            </wp:cNvGraphicFramePr>
            <a:graphic>
              <a:graphicData uri="http://schemas.openxmlformats.org/drawingml/2006/picture">
                <pic:pic>
                  <pic:nvPicPr>
                    <pic:cNvPr id="0" name="s3.png"/>
                    <pic:cNvPicPr/>
                  </pic:nvPicPr>
                  <pic:blipFill>
                    <a:blip r:embed="rId32"/>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S3</w:t>
      </w:r>
      <w:r>
        <w:rPr>
          <w:rFonts w:ascii="Arial" w:hAnsi="Arial"/>
          <w:b w:val="0"/>
          <w:color w:val="172F43"/>
          <w:sz w:val="15"/>
        </w:rPr>
        <w:t xml:space="preserve">   </w:t>
      </w:r>
      <w:r>
        <w:rPr>
          <w:rFonts w:ascii="Arial" w:hAnsi="Arial"/>
          <w:b/>
          <w:color w:val="007D87"/>
          <w:sz w:val="15"/>
        </w:rPr>
        <w:t xml:space="preserve">• </w:t>
      </w:r>
      <w:r>
        <w:rPr>
          <w:rFonts w:ascii="Arial" w:hAnsi="Arial"/>
          <w:b w:val="0"/>
          <w:color w:val="526372"/>
          <w:sz w:val="15"/>
        </w:rPr>
        <w:t>PingFederate</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25" name="Picture 25" descr="K8s logo"/>
            <wp:cNvGraphicFramePr>
              <a:graphicFrameLocks noChangeAspect="1"/>
            </wp:cNvGraphicFramePr>
            <a:graphic>
              <a:graphicData uri="http://schemas.openxmlformats.org/drawingml/2006/picture">
                <pic:pic>
                  <pic:nvPicPr>
                    <pic:cNvPr id="0" name="kubernetes.png"/>
                    <pic:cNvPicPr/>
                  </pic:nvPicPr>
                  <pic:blipFill>
                    <a:blip r:embed="rId18"/>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K8s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26" name="Picture 26" descr="Solr logo"/>
            <wp:cNvGraphicFramePr>
              <a:graphicFrameLocks noChangeAspect="1"/>
            </wp:cNvGraphicFramePr>
            <a:graphic>
              <a:graphicData uri="http://schemas.openxmlformats.org/drawingml/2006/picture">
                <pic:pic>
                  <pic:nvPicPr>
                    <pic:cNvPr id="0" name="solr.png"/>
                    <pic:cNvPicPr/>
                  </pic:nvPicPr>
                  <pic:blipFill>
                    <a:blip r:embed="rId14"/>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Solr</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27" name="Picture 27" descr="HBase logo"/>
            <wp:cNvGraphicFramePr>
              <a:graphicFrameLocks noChangeAspect="1"/>
            </wp:cNvGraphicFramePr>
            <a:graphic>
              <a:graphicData uri="http://schemas.openxmlformats.org/drawingml/2006/picture">
                <pic:pic>
                  <pic:nvPicPr>
                    <pic:cNvPr id="0" name="hbase.png"/>
                    <pic:cNvPicPr/>
                  </pic:nvPicPr>
                  <pic:blipFill>
                    <a:blip r:embed="rId33"/>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HBase</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28" name="Picture 28" descr="Databricks logo"/>
            <wp:cNvGraphicFramePr>
              <a:graphicFrameLocks noChangeAspect="1"/>
            </wp:cNvGraphicFramePr>
            <a:graphic>
              <a:graphicData uri="http://schemas.openxmlformats.org/drawingml/2006/picture">
                <pic:pic>
                  <pic:nvPicPr>
                    <pic:cNvPr id="0" name="databricks.png"/>
                    <pic:cNvPicPr/>
                  </pic:nvPicPr>
                  <pic:blipFill>
                    <a:blip r:embed="rId34"/>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Databricks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493"/>
        <w:gridCol w:w="3493"/>
        <w:gridCol w:w="3493"/>
      </w:tblGrid>
      <w:tr>
        <w:trPr>
          <w:cantSplit/>
        </w:trPr>
        <w:tc>
          <w:tcPr>
            <w:tcW w:type="dxa" w:w="3493"/>
            <w:tcMar>
              <w:top w:w="0" w:type="dxa"/>
              <w:bottom w:w="0" w:type="dxa"/>
              <w:left w:w="0" w:type="dxa"/>
              <w:right w:w="0" w:type="dxa"/>
            </w:tcMar>
            <w:tcMar>
              <w:top w:w="100" w:type="dxa"/>
              <w:bottom w:w="100" w:type="dxa"/>
              <w:left w:w="140" w:type="dxa"/>
              <w:right w:w="140" w:type="dxa"/>
            </w:tcMar>
            <w:shd w:fill="EAF3F2"/>
            <w:tcBorders>
              <w:top w:val="single" w:sz="8" w:color="FFFFFF"/>
              <w:bottom w:val="single" w:sz="8" w:color="FFFFFF"/>
              <w:left w:val="single" w:sz="8" w:color="FFFFFF"/>
              <w:right w:val="single" w:sz="8" w:color="FFFFFF"/>
            </w:tcBorders>
          </w:tcPr>
          <w:p>
            <w:pPr>
              <w:keepNext/>
              <w:widowControl/>
              <w:spacing w:before="0" w:after="40" w:line="200" w:lineRule="exact"/>
            </w:pPr>
            <w:r>
              <w:rPr>
                <w:rFonts w:ascii="Arial" w:hAnsi="Arial"/>
                <w:b/>
                <w:color w:val="007D87"/>
                <w:sz w:val="16"/>
              </w:rPr>
              <w:t>ARCHITECTURE</w:t>
            </w:r>
          </w:p>
          <w:p>
            <w:pPr>
              <w:keepNext/>
              <w:widowControl/>
              <w:spacing w:before="0" w:after="0" w:line="210" w:lineRule="exact"/>
            </w:pPr>
            <w:r>
              <w:rPr>
                <w:rFonts w:ascii="Arial" w:hAnsi="Arial"/>
                <w:b w:val="0"/>
                <w:color w:val="526372"/>
                <w:sz w:val="16"/>
              </w:rPr>
              <w:t>Rearchitecture &amp; cloud migration</w:t>
            </w:r>
          </w:p>
        </w:tc>
        <w:tc>
          <w:tcPr>
            <w:tcW w:type="dxa" w:w="3493"/>
            <w:tcMar>
              <w:top w:w="0" w:type="dxa"/>
              <w:bottom w:w="0" w:type="dxa"/>
              <w:left w:w="0" w:type="dxa"/>
              <w:right w:w="0" w:type="dxa"/>
            </w:tcMar>
            <w:tcMar>
              <w:top w:w="100" w:type="dxa"/>
              <w:bottom w:w="100" w:type="dxa"/>
              <w:left w:w="140" w:type="dxa"/>
              <w:right w:w="140" w:type="dxa"/>
            </w:tcMar>
            <w:shd w:fill="EDF2FA"/>
            <w:tcBorders>
              <w:top w:val="single" w:sz="8" w:color="FFFFFF"/>
              <w:bottom w:val="single" w:sz="8" w:color="FFFFFF"/>
              <w:left w:val="single" w:sz="8" w:color="FFFFFF"/>
              <w:right w:val="single" w:sz="8" w:color="FFFFFF"/>
            </w:tcBorders>
          </w:tcPr>
          <w:p>
            <w:pPr>
              <w:keepNext/>
              <w:widowControl/>
              <w:spacing w:before="0" w:after="40" w:line="200" w:lineRule="exact"/>
            </w:pPr>
            <w:r>
              <w:rPr>
                <w:rFonts w:ascii="Arial" w:hAnsi="Arial"/>
                <w:b/>
                <w:color w:val="007D87"/>
                <w:sz w:val="16"/>
              </w:rPr>
              <w:t>SOFTWARE ENGINEERING</w:t>
            </w:r>
          </w:p>
          <w:p>
            <w:pPr>
              <w:keepNext/>
              <w:widowControl/>
              <w:spacing w:before="0" w:after="0" w:line="210" w:lineRule="exact"/>
            </w:pPr>
            <w:r>
              <w:rPr>
                <w:rFonts w:ascii="Arial" w:hAnsi="Arial"/>
                <w:b w:val="0"/>
                <w:color w:val="526372"/>
                <w:sz w:val="16"/>
              </w:rPr>
              <w:t>Spark, Python &amp; ingestion pipelines</w:t>
            </w:r>
          </w:p>
        </w:tc>
        <w:tc>
          <w:tcPr>
            <w:tcW w:type="dxa" w:w="3493"/>
            <w:tcMar>
              <w:top w:w="0" w:type="dxa"/>
              <w:bottom w:w="0" w:type="dxa"/>
              <w:left w:w="0" w:type="dxa"/>
              <w:right w:w="0" w:type="dxa"/>
            </w:tcMar>
            <w:tcMar>
              <w:top w:w="100" w:type="dxa"/>
              <w:bottom w:w="100" w:type="dxa"/>
              <w:left w:w="140" w:type="dxa"/>
              <w:right w:w="140" w:type="dxa"/>
            </w:tcMar>
            <w:shd w:fill="F5F0E7"/>
            <w:tcBorders>
              <w:top w:val="single" w:sz="8" w:color="FFFFFF"/>
              <w:bottom w:val="single" w:sz="8" w:color="FFFFFF"/>
              <w:left w:val="single" w:sz="8" w:color="FFFFFF"/>
              <w:right w:val="single" w:sz="8" w:color="FFFFFF"/>
            </w:tcBorders>
          </w:tcPr>
          <w:p>
            <w:pPr>
              <w:keepNext/>
              <w:widowControl/>
              <w:spacing w:before="0" w:after="40" w:line="200" w:lineRule="exact"/>
            </w:pPr>
            <w:r>
              <w:rPr>
                <w:rFonts w:ascii="Arial" w:hAnsi="Arial"/>
                <w:b/>
                <w:color w:val="007D87"/>
                <w:sz w:val="16"/>
              </w:rPr>
              <w:t>PRODUCTION OPERATIONS</w:t>
            </w:r>
          </w:p>
          <w:p>
            <w:pPr>
              <w:keepNext/>
              <w:widowControl/>
              <w:spacing w:before="0" w:after="0" w:line="210" w:lineRule="exact"/>
            </w:pPr>
            <w:r>
              <w:rPr>
                <w:rFonts w:ascii="Arial" w:hAnsi="Arial"/>
                <w:b w:val="0"/>
                <w:color w:val="526372"/>
                <w:sz w:val="16"/>
              </w:rPr>
              <w:t>IaC, performance &amp; disaster recovery</w:t>
            </w:r>
          </w:p>
        </w:tc>
      </w:tr>
    </w:tbl>
    <w:p>
      <w:pPr>
        <w:keepNext/>
        <w:widowControl/>
        <w:spacing w:before="0" w:after="0" w:line="60" w:lineRule="exact"/>
      </w:pPr>
    </w:p>
    <w:p>
      <w:pPr>
        <w:keepLines/>
        <w:ind w:left="180" w:hanging="180"/>
      </w:pPr>
      <w:r>
        <w:rPr>
          <w:rFonts w:ascii="Arial" w:hAnsi="Arial"/>
          <w:b w:val="0"/>
          <w:color w:val="172F43"/>
          <w:sz w:val="20"/>
        </w:rPr>
        <w:t xml:space="preserve">- </w:t>
      </w:r>
      <w:r>
        <w:rPr>
          <w:rFonts w:ascii="Arial" w:hAnsi="Arial"/>
          <w:b/>
          <w:color w:val="172F43"/>
          <w:sz w:val="20"/>
        </w:rPr>
        <w:t>Architecture and migration.</w:t>
      </w:r>
      <w:r>
        <w:rPr>
          <w:rFonts w:ascii="Arial" w:hAnsi="Arial"/>
          <w:b w:val="0"/>
          <w:color w:val="172F43"/>
          <w:sz w:val="20"/>
        </w:rPr>
        <w:t xml:space="preserve"> Led three mission-critical migrations across distributed data and live OLTP/web platforms; rearchitected mortgage-document systems from Hadoop/Solr to Elasticsearch/OpenSearch and S3.</w:t>
      </w:r>
    </w:p>
    <w:p>
      <w:pPr>
        <w:keepLines/>
        <w:ind w:left="180" w:hanging="180"/>
      </w:pPr>
      <w:r>
        <w:rPr>
          <w:rFonts w:ascii="Arial" w:hAnsi="Arial"/>
          <w:b w:val="0"/>
          <w:color w:val="172F43"/>
          <w:sz w:val="20"/>
        </w:rPr>
        <w:t xml:space="preserve">- </w:t>
      </w:r>
      <w:r>
        <w:rPr>
          <w:rFonts w:ascii="Arial" w:hAnsi="Arial"/>
          <w:b/>
          <w:color w:val="172F43"/>
          <w:sz w:val="20"/>
        </w:rPr>
        <w:t>Software engineering.</w:t>
      </w:r>
      <w:r>
        <w:rPr>
          <w:rFonts w:ascii="Arial" w:hAnsi="Arial"/>
          <w:b w:val="0"/>
          <w:color w:val="172F43"/>
          <w:sz w:val="20"/>
        </w:rPr>
        <w:t xml:space="preserve"> Led Spark migration-job development for Solr-to-Elasticsearch and HBase-to-S3; designed Databricks, AWS Glue, Talend, and S3 ingestion frameworks and built Python/Airflow automation.</w:t>
      </w:r>
    </w:p>
    <w:p>
      <w:pPr>
        <w:keepLines/>
        <w:ind w:left="180" w:hanging="180"/>
      </w:pPr>
      <w:r>
        <w:rPr>
          <w:rFonts w:ascii="Arial" w:hAnsi="Arial"/>
          <w:b w:val="0"/>
          <w:color w:val="172F43"/>
          <w:sz w:val="20"/>
        </w:rPr>
        <w:t xml:space="preserve">- </w:t>
      </w:r>
      <w:r>
        <w:rPr>
          <w:rFonts w:ascii="Arial" w:hAnsi="Arial"/>
          <w:b/>
          <w:color w:val="172F43"/>
          <w:sz w:val="20"/>
        </w:rPr>
        <w:t>Infrastructure and operations.</w:t>
      </w:r>
      <w:r>
        <w:rPr>
          <w:rFonts w:ascii="Arial" w:hAnsi="Arial"/>
          <w:b w:val="0"/>
          <w:color w:val="172F43"/>
          <w:sz w:val="20"/>
        </w:rPr>
        <w:t xml:space="preserve"> Built Terraform, CloudFormation, and Ansible provisioning; automated snapshots and bootstrapping, supported performance testing, and resolved platform and release failures.</w:t>
      </w:r>
    </w:p>
    <w:p>
      <w:pPr>
        <w:keepLines/>
        <w:ind w:left="180" w:hanging="180"/>
      </w:pPr>
      <w:r>
        <w:rPr>
          <w:rFonts w:ascii="Arial" w:hAnsi="Arial"/>
          <w:b w:val="0"/>
          <w:color w:val="172F43"/>
          <w:sz w:val="20"/>
        </w:rPr>
        <w:t xml:space="preserve">- </w:t>
      </w:r>
      <w:r>
        <w:rPr>
          <w:rFonts w:ascii="Arial" w:hAnsi="Arial"/>
          <w:b/>
          <w:color w:val="172F43"/>
          <w:sz w:val="20"/>
        </w:rPr>
        <w:t>Disaster recovery.</w:t>
      </w:r>
      <w:r>
        <w:rPr>
          <w:rFonts w:ascii="Arial" w:hAnsi="Arial"/>
          <w:b w:val="0"/>
          <w:color w:val="172F43"/>
          <w:sz w:val="20"/>
        </w:rPr>
        <w:t xml:space="preserve"> Delivered a production hybrid-cloud DR environment within six months with ~15-minute RPO and ~2-hour RTO using cross-region replication, S3, Airflow, Python, and Elasticsearch.</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100"/>
        <w:gridCol w:w="6980"/>
        <w:gridCol w:w="2400"/>
      </w:tblGrid>
      <w:tr>
        <w:trPr>
          <w:cantSplit/>
        </w:trPr>
        <w:tc>
          <w:tcPr>
            <w:tcW w:type="dxa" w:w="1100"/>
            <w:tcMar>
              <w:top w:w="0" w:type="dxa"/>
              <w:bottom w:w="0" w:type="dxa"/>
              <w:left w:w="0" w:type="dxa"/>
              <w:right w:w="0" w:type="dxa"/>
            </w:tcMar>
            <w:vAlign w:val="center"/>
          </w:tcPr>
          <w:p>
            <w:pPr>
              <w:keepNext/>
              <w:widowControl/>
              <w:spacing w:before="0" w:after="0" w:line="240" w:lineRule="auto"/>
              <w:jc w:val="center"/>
            </w:pPr>
            <w:r>
              <w:drawing>
                <wp:inline xmlns:a="http://schemas.openxmlformats.org/drawingml/2006/main" xmlns:pic="http://schemas.openxmlformats.org/drawingml/2006/picture">
                  <wp:extent cx="546100" cy="82022"/>
                  <wp:docPr id="29" name="Picture 29" descr="Cyber Data Lake / Amorphic logo"/>
                  <wp:cNvGraphicFramePr>
                    <a:graphicFrameLocks noChangeAspect="1"/>
                  </wp:cNvGraphicFramePr>
                  <a:graphic>
                    <a:graphicData uri="http://schemas.openxmlformats.org/drawingml/2006/picture">
                      <pic:pic>
                        <pic:nvPicPr>
                          <pic:cNvPr id="0" name="cloudwick.png"/>
                          <pic:cNvPicPr/>
                        </pic:nvPicPr>
                        <pic:blipFill>
                          <a:blip r:embed="rId35"/>
                          <a:stretch>
                            <a:fillRect/>
                          </a:stretch>
                        </pic:blipFill>
                        <pic:spPr>
                          <a:xfrm>
                            <a:off x="0" y="0"/>
                            <a:ext cx="546100" cy="82022"/>
                          </a:xfrm>
                          <a:prstGeom prst="rect"/>
                        </pic:spPr>
                      </pic:pic>
                    </a:graphicData>
                  </a:graphic>
                </wp:inline>
              </w:drawing>
            </w:r>
          </w:p>
        </w:tc>
        <w:tc>
          <w:tcPr>
            <w:tcW w:type="dxa" w:w="6980"/>
            <w:tcMar>
              <w:top w:w="0" w:type="dxa"/>
              <w:bottom w:w="0" w:type="dxa"/>
              <w:left w:w="0" w:type="dxa"/>
              <w:right w:w="0" w:type="dxa"/>
            </w:tcMar>
          </w:tcPr>
          <w:p>
            <w:pPr>
              <w:keepNext/>
              <w:widowControl/>
              <w:spacing w:before="0" w:after="40" w:line="260" w:lineRule="exact"/>
            </w:pPr>
            <w:r>
              <w:rPr>
                <w:rFonts w:ascii="Arial" w:hAnsi="Arial"/>
                <w:b/>
                <w:color w:val="172F43"/>
                <w:sz w:val="22"/>
              </w:rPr>
              <w:t>Cyber Data Lake / Amorphic</w:t>
            </w:r>
          </w:p>
          <w:p>
            <w:pPr>
              <w:keepNext/>
              <w:widowControl/>
              <w:spacing w:before="0" w:after="60" w:line="240" w:lineRule="exact"/>
            </w:pPr>
            <w:r>
              <w:rPr>
                <w:rFonts w:ascii="Arial" w:hAnsi="Arial"/>
                <w:b w:val="0"/>
                <w:color w:val="172F43"/>
                <w:sz w:val="18"/>
              </w:rPr>
              <w:t>Lead Solutions Engineer</w:t>
            </w:r>
          </w:p>
        </w:tc>
        <w:tc>
          <w:tcPr>
            <w:tcW w:type="dxa" w:w="2400"/>
            <w:tcMar>
              <w:top w:w="0" w:type="dxa"/>
              <w:bottom w:w="0" w:type="dxa"/>
              <w:left w:w="0" w:type="dxa"/>
              <w:right w:w="0" w:type="dxa"/>
            </w:tcMar>
          </w:tcPr>
          <w:p>
            <w:pPr>
              <w:keepNext/>
              <w:widowControl/>
              <w:spacing w:before="0" w:after="0" w:line="300" w:lineRule="exact"/>
              <w:jc w:val="right"/>
            </w:pPr>
            <w:r>
              <w:rPr>
                <w:rFonts w:ascii="Arial" w:hAnsi="Arial"/>
                <w:b w:val="0"/>
                <w:color w:val="526372"/>
                <w:sz w:val="18"/>
              </w:rPr>
              <w:t>Nov 2016 - Dec 2018</w:t>
            </w:r>
          </w:p>
        </w:tc>
      </w:tr>
    </w:tbl>
    <w:p>
      <w:pPr>
        <w:keepNext/>
        <w:widowControl/>
        <w:spacing w:before="0" w:after="80" w:line="240" w:lineRule="exact"/>
      </w:pPr>
      <w:r>
        <w:rPr>
          <w:rFonts w:ascii="Arial" w:hAnsi="Arial"/>
          <w:b/>
          <w:color w:val="007D87"/>
          <w:sz w:val="15"/>
        </w:rPr>
        <w:t xml:space="preserve">• </w:t>
      </w:r>
      <w:r>
        <w:rPr>
          <w:rFonts w:ascii="Arial" w:hAnsi="Arial"/>
          <w:b w:val="0"/>
          <w:color w:val="526372"/>
          <w:sz w:val="15"/>
        </w:rPr>
        <w:t>PCAP</w:t>
      </w:r>
      <w:r>
        <w:rPr>
          <w:rFonts w:ascii="Arial" w:hAnsi="Arial"/>
          <w:b w:val="0"/>
          <w:color w:val="172F43"/>
          <w:sz w:val="15"/>
        </w:rPr>
        <w:t xml:space="preserve">   </w:t>
      </w:r>
      <w:r>
        <w:rPr>
          <w:rFonts w:ascii="Arial" w:hAnsi="Arial"/>
          <w:b/>
          <w:color w:val="007D87"/>
          <w:sz w:val="15"/>
        </w:rPr>
        <w:t xml:space="preserve">• </w:t>
      </w:r>
      <w:r>
        <w:rPr>
          <w:rFonts w:ascii="Arial" w:hAnsi="Arial"/>
          <w:b w:val="0"/>
          <w:color w:val="526372"/>
          <w:sz w:val="15"/>
        </w:rPr>
        <w:t>NetFlow</w:t>
      </w:r>
      <w:r>
        <w:rPr>
          <w:rFonts w:ascii="Arial" w:hAnsi="Arial"/>
          <w:b w:val="0"/>
          <w:color w:val="172F43"/>
          <w:sz w:val="15"/>
        </w:rPr>
        <w:t xml:space="preserve">   </w:t>
      </w:r>
      <w:r>
        <w:rPr>
          <w:rFonts w:ascii="Arial" w:hAnsi="Arial"/>
          <w:b/>
          <w:color w:val="007D87"/>
          <w:sz w:val="15"/>
        </w:rPr>
        <w:t xml:space="preserve">• </w:t>
      </w:r>
      <w:r>
        <w:rPr>
          <w:rFonts w:ascii="Arial" w:hAnsi="Arial"/>
          <w:b w:val="0"/>
          <w:color w:val="526372"/>
          <w:sz w:val="15"/>
        </w:rPr>
        <w:t>Telemetry</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0" name="Picture 30" descr="Rust logo"/>
            <wp:cNvGraphicFramePr>
              <a:graphicFrameLocks noChangeAspect="1"/>
            </wp:cNvGraphicFramePr>
            <a:graphic>
              <a:graphicData uri="http://schemas.openxmlformats.org/drawingml/2006/picture">
                <pic:pic>
                  <pic:nvPicPr>
                    <pic:cNvPr id="0" name="rust.png"/>
                    <pic:cNvPicPr/>
                  </pic:nvPicPr>
                  <pic:blipFill>
                    <a:blip r:embed="rId36"/>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Rust</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1" name="Picture 31" descr="Bash logo"/>
            <wp:cNvGraphicFramePr>
              <a:graphicFrameLocks noChangeAspect="1"/>
            </wp:cNvGraphicFramePr>
            <a:graphic>
              <a:graphicData uri="http://schemas.openxmlformats.org/drawingml/2006/picture">
                <pic:pic>
                  <pic:nvPicPr>
                    <pic:cNvPr id="0" name="bash.png"/>
                    <pic:cNvPicPr/>
                  </pic:nvPicPr>
                  <pic:blipFill>
                    <a:blip r:embed="rId37"/>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Bash</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2" name="Picture 32" descr="Python logo"/>
            <wp:cNvGraphicFramePr>
              <a:graphicFrameLocks noChangeAspect="1"/>
            </wp:cNvGraphicFramePr>
            <a:graphic>
              <a:graphicData uri="http://schemas.openxmlformats.org/drawingml/2006/picture">
                <pic:pic>
                  <pic:nvPicPr>
                    <pic:cNvPr id="0" name="python.png"/>
                    <pic:cNvPicPr/>
                  </pic:nvPicPr>
                  <pic:blipFill>
                    <a:blip r:embed="rId38"/>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Python</w:t>
      </w:r>
      <w:r>
        <w:br/>
      </w:r>
      <w:r>
        <w:drawing>
          <wp:inline xmlns:a="http://schemas.openxmlformats.org/drawingml/2006/main" xmlns:pic="http://schemas.openxmlformats.org/drawingml/2006/picture">
            <wp:extent cx="127000" cy="127000"/>
            <wp:docPr id="33" name="Picture 33" descr="Supermicro logo"/>
            <wp:cNvGraphicFramePr>
              <a:graphicFrameLocks noChangeAspect="1"/>
            </wp:cNvGraphicFramePr>
            <a:graphic>
              <a:graphicData uri="http://schemas.openxmlformats.org/drawingml/2006/picture">
                <pic:pic>
                  <pic:nvPicPr>
                    <pic:cNvPr id="0" name="supermicro.png"/>
                    <pic:cNvPicPr/>
                  </pic:nvPicPr>
                  <pic:blipFill>
                    <a:blip r:embed="rId39"/>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Supermicro</w:t>
      </w:r>
      <w:r>
        <w:rPr>
          <w:rFonts w:ascii="Arial" w:hAnsi="Arial"/>
          <w:b w:val="0"/>
          <w:color w:val="172F43"/>
          <w:sz w:val="15"/>
        </w:rPr>
        <w:t xml:space="preserve">   </w:t>
      </w:r>
      <w:r>
        <w:rPr>
          <w:rFonts w:ascii="Arial" w:hAnsi="Arial"/>
          <w:b/>
          <w:color w:val="007D87"/>
          <w:sz w:val="15"/>
        </w:rPr>
        <w:t xml:space="preserve">• </w:t>
      </w:r>
      <w:r>
        <w:rPr>
          <w:rFonts w:ascii="Arial" w:hAnsi="Arial"/>
          <w:b w:val="0"/>
          <w:color w:val="526372"/>
          <w:sz w:val="15"/>
        </w:rPr>
        <w:t>SolrCapture</w:t>
      </w:r>
      <w:r>
        <w:rPr>
          <w:rFonts w:ascii="Arial" w:hAnsi="Arial"/>
          <w:b w:val="0"/>
          <w:color w:val="172F43"/>
          <w:sz w:val="15"/>
        </w:rPr>
        <w:t xml:space="preserve">   </w:t>
      </w:r>
      <w:r>
        <w:rPr>
          <w:rFonts w:ascii="Arial" w:hAnsi="Arial"/>
          <w:b/>
          <w:color w:val="007D87"/>
          <w:sz w:val="15"/>
        </w:rPr>
        <w:t xml:space="preserve">• </w:t>
      </w:r>
      <w:r>
        <w:rPr>
          <w:rFonts w:ascii="Arial" w:hAnsi="Arial"/>
          <w:b w:val="0"/>
          <w:color w:val="526372"/>
          <w:sz w:val="15"/>
        </w:rPr>
        <w:t>IXIA</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4" name="Picture 34" descr="CentOS logo"/>
            <wp:cNvGraphicFramePr>
              <a:graphicFrameLocks noChangeAspect="1"/>
            </wp:cNvGraphicFramePr>
            <a:graphic>
              <a:graphicData uri="http://schemas.openxmlformats.org/drawingml/2006/picture">
                <pic:pic>
                  <pic:nvPicPr>
                    <pic:cNvPr id="0" name="centos.png"/>
                    <pic:cNvPicPr/>
                  </pic:nvPicPr>
                  <pic:blipFill>
                    <a:blip r:embed="rId40"/>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CentOS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5" name="Picture 35" descr="Ansible logo"/>
            <wp:cNvGraphicFramePr>
              <a:graphicFrameLocks noChangeAspect="1"/>
            </wp:cNvGraphicFramePr>
            <a:graphic>
              <a:graphicData uri="http://schemas.openxmlformats.org/drawingml/2006/picture">
                <pic:pic>
                  <pic:nvPicPr>
                    <pic:cNvPr id="0" name="ansible.png"/>
                    <pic:cNvPicPr/>
                  </pic:nvPicPr>
                  <pic:blipFill>
                    <a:blip r:embed="rId41"/>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Ansible</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493"/>
        <w:gridCol w:w="3493"/>
        <w:gridCol w:w="3493"/>
      </w:tblGrid>
      <w:tr>
        <w:trPr>
          <w:cantSplit/>
        </w:trPr>
        <w:tc>
          <w:tcPr>
            <w:tcW w:type="dxa" w:w="3493"/>
            <w:tcMar>
              <w:top w:w="0" w:type="dxa"/>
              <w:bottom w:w="0" w:type="dxa"/>
              <w:left w:w="0" w:type="dxa"/>
              <w:right w:w="0" w:type="dxa"/>
            </w:tcMar>
            <w:tcMar>
              <w:top w:w="100" w:type="dxa"/>
              <w:bottom w:w="100" w:type="dxa"/>
              <w:left w:w="140" w:type="dxa"/>
              <w:right w:w="140" w:type="dxa"/>
            </w:tcMar>
            <w:shd w:fill="EAF3F2"/>
            <w:tcBorders>
              <w:top w:val="single" w:sz="8" w:color="FFFFFF"/>
              <w:bottom w:val="single" w:sz="8" w:color="FFFFFF"/>
              <w:left w:val="single" w:sz="8" w:color="FFFFFF"/>
              <w:right w:val="single" w:sz="8" w:color="FFFFFF"/>
            </w:tcBorders>
          </w:tcPr>
          <w:p>
            <w:pPr>
              <w:keepNext/>
              <w:widowControl/>
              <w:spacing w:before="0" w:after="40" w:line="200" w:lineRule="exact"/>
            </w:pPr>
            <w:r>
              <w:rPr>
                <w:rFonts w:ascii="Arial" w:hAnsi="Arial"/>
                <w:b/>
                <w:color w:val="007D87"/>
                <w:sz w:val="16"/>
              </w:rPr>
              <w:t>OWNED INFRA &amp; HARDWARE</w:t>
            </w:r>
          </w:p>
          <w:p>
            <w:pPr>
              <w:keepNext/>
              <w:widowControl/>
              <w:spacing w:before="0" w:after="0" w:line="210" w:lineRule="exact"/>
            </w:pPr>
            <w:r>
              <w:rPr>
                <w:rFonts w:ascii="Arial" w:hAnsi="Arial"/>
                <w:b w:val="0"/>
                <w:color w:val="526372"/>
                <w:sz w:val="16"/>
              </w:rPr>
              <w:t>Supermicro servers, high-throughput NICs</w:t>
            </w:r>
          </w:p>
        </w:tc>
        <w:tc>
          <w:tcPr>
            <w:tcW w:type="dxa" w:w="3493"/>
            <w:tcMar>
              <w:top w:w="0" w:type="dxa"/>
              <w:bottom w:w="0" w:type="dxa"/>
              <w:left w:w="0" w:type="dxa"/>
              <w:right w:w="0" w:type="dxa"/>
            </w:tcMar>
            <w:tcMar>
              <w:top w:w="100" w:type="dxa"/>
              <w:bottom w:w="100" w:type="dxa"/>
              <w:left w:w="140" w:type="dxa"/>
              <w:right w:w="140" w:type="dxa"/>
            </w:tcMar>
            <w:shd w:fill="EDF2FA"/>
            <w:tcBorders>
              <w:top w:val="single" w:sz="8" w:color="FFFFFF"/>
              <w:bottom w:val="single" w:sz="8" w:color="FFFFFF"/>
              <w:left w:val="single" w:sz="8" w:color="FFFFFF"/>
              <w:right w:val="single" w:sz="8" w:color="FFFFFF"/>
            </w:tcBorders>
          </w:tcPr>
          <w:p>
            <w:pPr>
              <w:keepNext/>
              <w:widowControl/>
              <w:spacing w:before="0" w:after="40" w:line="200" w:lineRule="exact"/>
            </w:pPr>
            <w:r>
              <w:rPr>
                <w:rFonts w:ascii="Arial" w:hAnsi="Arial"/>
                <w:b/>
                <w:color w:val="007D87"/>
                <w:sz w:val="16"/>
              </w:rPr>
              <w:t>OWNED NETWORK &amp; CAPTURE</w:t>
            </w:r>
          </w:p>
          <w:p>
            <w:pPr>
              <w:keepNext/>
              <w:widowControl/>
              <w:spacing w:before="0" w:after="0" w:line="210" w:lineRule="exact"/>
            </w:pPr>
            <w:r>
              <w:rPr>
                <w:rFonts w:ascii="Arial" w:hAnsi="Arial"/>
                <w:b w:val="0"/>
                <w:color w:val="526372"/>
                <w:sz w:val="16"/>
              </w:rPr>
              <w:t>IXIA, ToR / supervisor switches, packet capture</w:t>
            </w:r>
          </w:p>
        </w:tc>
        <w:tc>
          <w:tcPr>
            <w:tcW w:type="dxa" w:w="3493"/>
            <w:tcMar>
              <w:top w:w="0" w:type="dxa"/>
              <w:bottom w:w="0" w:type="dxa"/>
              <w:left w:w="0" w:type="dxa"/>
              <w:right w:w="0" w:type="dxa"/>
            </w:tcMar>
            <w:tcMar>
              <w:top w:w="100" w:type="dxa"/>
              <w:bottom w:w="100" w:type="dxa"/>
              <w:left w:w="140" w:type="dxa"/>
              <w:right w:w="140" w:type="dxa"/>
            </w:tcMar>
            <w:shd w:fill="F5F0E7"/>
            <w:tcBorders>
              <w:top w:val="single" w:sz="8" w:color="FFFFFF"/>
              <w:bottom w:val="single" w:sz="8" w:color="FFFFFF"/>
              <w:left w:val="single" w:sz="8" w:color="FFFFFF"/>
              <w:right w:val="single" w:sz="8" w:color="FFFFFF"/>
            </w:tcBorders>
          </w:tcPr>
          <w:p>
            <w:pPr>
              <w:keepNext/>
              <w:widowControl/>
              <w:spacing w:before="0" w:after="40" w:line="200" w:lineRule="exact"/>
            </w:pPr>
            <w:r>
              <w:rPr>
                <w:rFonts w:ascii="Arial" w:hAnsi="Arial"/>
                <w:b/>
                <w:color w:val="007D87"/>
                <w:sz w:val="16"/>
              </w:rPr>
              <w:t>OWNED TOOLING &amp; PERFORMANCE</w:t>
            </w:r>
          </w:p>
          <w:p>
            <w:pPr>
              <w:keepNext/>
              <w:widowControl/>
              <w:spacing w:before="0" w:after="0" w:line="210" w:lineRule="exact"/>
            </w:pPr>
            <w:r>
              <w:rPr>
                <w:rFonts w:ascii="Arial" w:hAnsi="Arial"/>
                <w:b w:val="0"/>
                <w:color w:val="526372"/>
                <w:sz w:val="16"/>
              </w:rPr>
              <w:t>Solr analytics, monitoring &amp; performance tooling</w:t>
            </w:r>
          </w:p>
        </w:tc>
      </w:tr>
    </w:tbl>
    <w:p>
      <w:pPr>
        <w:keepNext/>
        <w:widowControl/>
        <w:spacing w:before="0" w:after="0" w:line="60" w:lineRule="exact"/>
      </w:pPr>
    </w:p>
    <w:p>
      <w:pPr>
        <w:keepLines/>
        <w:ind w:left="180" w:hanging="180"/>
      </w:pPr>
      <w:r>
        <w:rPr>
          <w:rFonts w:ascii="Arial" w:hAnsi="Arial"/>
          <w:b w:val="0"/>
          <w:color w:val="172F43"/>
          <w:sz w:val="20"/>
        </w:rPr>
        <w:t xml:space="preserve">- </w:t>
      </w:r>
      <w:r>
        <w:rPr>
          <w:rFonts w:ascii="Arial" w:hAnsi="Arial"/>
          <w:b w:val="0"/>
          <w:color w:val="172F43"/>
          <w:sz w:val="20"/>
        </w:rPr>
        <w:t>Owned the three-rack cyber data lake infrastructure end to end: hardware/network integration, operational and performance tooling, and tuning of 40 Gb/s packet-capture technology.</w:t>
      </w:r>
    </w:p>
    <w:p>
      <w:pPr>
        <w:keepLines/>
        <w:ind w:left="180" w:hanging="180"/>
      </w:pPr>
      <w:r>
        <w:rPr>
          <w:rFonts w:ascii="Arial" w:hAnsi="Arial"/>
          <w:b w:val="0"/>
          <w:color w:val="172F43"/>
          <w:sz w:val="20"/>
        </w:rPr>
        <w:t xml:space="preserve">- </w:t>
      </w:r>
      <w:r>
        <w:rPr>
          <w:rFonts w:ascii="Arial" w:hAnsi="Arial"/>
          <w:b w:val="0"/>
          <w:color w:val="172F43"/>
          <w:sz w:val="20"/>
        </w:rPr>
        <w:t>Built correlated ingestion of PCAP, NetFlow, application logs, and firewall events across Hadoop, Kafka, Spark, Solr, HBase, and Elasticsearch; built Prometheus monitoring for capture agents.</w:t>
      </w:r>
    </w:p>
    <w:p>
      <w:pPr>
        <w:pStyle w:val="Heading1"/>
        <w:keepNext/>
        <w:widowControl/>
        <w:spacing w:before="140" w:after="80" w:line="240" w:lineRule="exact"/>
      </w:pPr>
      <w:r>
        <w:rPr>
          <w:rFonts w:ascii="Arial" w:hAnsi="Arial"/>
          <w:b/>
          <w:color w:val="007D87"/>
          <w:sz w:val="18"/>
        </w:rPr>
        <w:t>EARLIER DISTRIBUTED SYSTEMS DELIVERY</w:t>
      </w:r>
    </w:p>
    <w:p>
      <w:pPr>
        <w:keepNext/>
        <w:widowControl/>
        <w:spacing w:before="0" w:after="80" w:line="240" w:lineRule="exact"/>
      </w:pPr>
      <w:r>
        <w:drawing>
          <wp:inline xmlns:a="http://schemas.openxmlformats.org/drawingml/2006/main" xmlns:pic="http://schemas.openxmlformats.org/drawingml/2006/picture">
            <wp:extent cx="127000" cy="127000"/>
            <wp:docPr id="36" name="Picture 36" descr="AWS logo"/>
            <wp:cNvGraphicFramePr>
              <a:graphicFrameLocks noChangeAspect="1"/>
            </wp:cNvGraphicFramePr>
            <a:graphic>
              <a:graphicData uri="http://schemas.openxmlformats.org/drawingml/2006/picture">
                <pic:pic>
                  <pic:nvPicPr>
                    <pic:cNvPr id="0" name="aws.png"/>
                    <pic:cNvPicPr/>
                  </pic:nvPicPr>
                  <pic:blipFill>
                    <a:blip r:embed="rId15"/>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AWS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7" name="Picture 37" descr="Azure logo"/>
            <wp:cNvGraphicFramePr>
              <a:graphicFrameLocks noChangeAspect="1"/>
            </wp:cNvGraphicFramePr>
            <a:graphic>
              <a:graphicData uri="http://schemas.openxmlformats.org/drawingml/2006/picture">
                <pic:pic>
                  <pic:nvPicPr>
                    <pic:cNvPr id="0" name="azure.png"/>
                    <pic:cNvPicPr/>
                  </pic:nvPicPr>
                  <pic:blipFill>
                    <a:blip r:embed="rId42"/>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Azure</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8" name="Picture 38" descr="Hadoop logo"/>
            <wp:cNvGraphicFramePr>
              <a:graphicFrameLocks noChangeAspect="1"/>
            </wp:cNvGraphicFramePr>
            <a:graphic>
              <a:graphicData uri="http://schemas.openxmlformats.org/drawingml/2006/picture">
                <pic:pic>
                  <pic:nvPicPr>
                    <pic:cNvPr id="0" name="hadoop.png"/>
                    <pic:cNvPicPr/>
                  </pic:nvPicPr>
                  <pic:blipFill>
                    <a:blip r:embed="rId43"/>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Hadoop</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39" name="Picture 39" descr="Databricks logo"/>
            <wp:cNvGraphicFramePr>
              <a:graphicFrameLocks noChangeAspect="1"/>
            </wp:cNvGraphicFramePr>
            <a:graphic>
              <a:graphicData uri="http://schemas.openxmlformats.org/drawingml/2006/picture">
                <pic:pic>
                  <pic:nvPicPr>
                    <pic:cNvPr id="0" name="databricks.png"/>
                    <pic:cNvPicPr/>
                  </pic:nvPicPr>
                  <pic:blipFill>
                    <a:blip r:embed="rId34"/>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Databricks</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40" name="Picture 40" descr="Python logo"/>
            <wp:cNvGraphicFramePr>
              <a:graphicFrameLocks noChangeAspect="1"/>
            </wp:cNvGraphicFramePr>
            <a:graphic>
              <a:graphicData uri="http://schemas.openxmlformats.org/drawingml/2006/picture">
                <pic:pic>
                  <pic:nvPicPr>
                    <pic:cNvPr id="0" name="python.png"/>
                    <pic:cNvPicPr/>
                  </pic:nvPicPr>
                  <pic:blipFill>
                    <a:blip r:embed="rId38"/>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Python</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41" name="Picture 41" descr="Bash logo"/>
            <wp:cNvGraphicFramePr>
              <a:graphicFrameLocks noChangeAspect="1"/>
            </wp:cNvGraphicFramePr>
            <a:graphic>
              <a:graphicData uri="http://schemas.openxmlformats.org/drawingml/2006/picture">
                <pic:pic>
                  <pic:nvPicPr>
                    <pic:cNvPr id="0" name="bash.png"/>
                    <pic:cNvPicPr/>
                  </pic:nvPicPr>
                  <pic:blipFill>
                    <a:blip r:embed="rId37"/>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Bash</w:t>
      </w:r>
      <w:r>
        <w:rPr>
          <w:rFonts w:ascii="Arial" w:hAnsi="Arial"/>
          <w:b w:val="0"/>
          <w:color w:val="172F43"/>
          <w:sz w:val="15"/>
        </w:rPr>
        <w:t xml:space="preserve">   </w:t>
      </w:r>
      <w:r>
        <w:drawing>
          <wp:inline xmlns:a="http://schemas.openxmlformats.org/drawingml/2006/main" xmlns:pic="http://schemas.openxmlformats.org/drawingml/2006/picture">
            <wp:extent cx="127000" cy="127000"/>
            <wp:docPr id="42" name="Picture 42" descr="Ansible logo"/>
            <wp:cNvGraphicFramePr>
              <a:graphicFrameLocks noChangeAspect="1"/>
            </wp:cNvGraphicFramePr>
            <a:graphic>
              <a:graphicData uri="http://schemas.openxmlformats.org/drawingml/2006/picture">
                <pic:pic>
                  <pic:nvPicPr>
                    <pic:cNvPr id="0" name="ansible.png"/>
                    <pic:cNvPicPr/>
                  </pic:nvPicPr>
                  <pic:blipFill>
                    <a:blip r:embed="rId41"/>
                    <a:stretch>
                      <a:fillRect/>
                    </a:stretch>
                  </pic:blipFill>
                  <pic:spPr>
                    <a:xfrm>
                      <a:off x="0" y="0"/>
                      <a:ext cx="127000" cy="127000"/>
                    </a:xfrm>
                    <a:prstGeom prst="rect"/>
                  </pic:spPr>
                </pic:pic>
              </a:graphicData>
            </a:graphic>
          </wp:inline>
        </w:drawing>
      </w:r>
      <w:r>
        <w:rPr>
          <w:rFonts w:ascii="Arial" w:hAnsi="Arial"/>
          <w:b w:val="0"/>
          <w:color w:val="172F43"/>
          <w:sz w:val="15"/>
        </w:rPr>
        <w:t xml:space="preserve"> </w:t>
      </w:r>
      <w:r>
        <w:rPr>
          <w:rFonts w:ascii="Arial" w:hAnsi="Arial"/>
          <w:b w:val="0"/>
          <w:color w:val="526372"/>
          <w:sz w:val="15"/>
        </w:rPr>
        <w:t>Ansible</w:t>
      </w:r>
    </w:p>
    <w:p>
      <w:pPr>
        <w:keepNext w:val="0"/>
        <w:keepLines/>
        <w:widowControl/>
        <w:spacing w:before="0" w:after="100" w:line="240" w:lineRule="exact"/>
      </w:pPr>
      <w:r>
        <w:rPr>
          <w:rFonts w:ascii="Arial" w:hAnsi="Arial"/>
          <w:b/>
          <w:color w:val="172F43"/>
          <w:sz w:val="19"/>
        </w:rPr>
        <w:t>Selected clients | Senior Operations Solutions Engineer | Feb-Oct 2016</w:t>
      </w:r>
      <w:r>
        <w:rPr>
          <w:rFonts w:ascii="Arial" w:hAnsi="Arial"/>
          <w:b w:val="0"/>
          <w:color w:val="172F43"/>
          <w:sz w:val="19"/>
        </w:rPr>
        <w:br/>
        <w:t>Daimler, SimplyMeasured, Classmates / The Battle Group: Hadoop builds, Ansible automation, security, benchmarking, and production readiness.</w:t>
      </w:r>
    </w:p>
    <w:p>
      <w:pPr>
        <w:keepNext w:val="0"/>
        <w:keepLines/>
        <w:widowControl/>
        <w:spacing w:before="0" w:after="100" w:line="240" w:lineRule="exact"/>
      </w:pPr>
      <w:r>
        <w:rPr>
          <w:rFonts w:ascii="Arial" w:hAnsi="Arial"/>
          <w:b/>
          <w:color w:val="172F43"/>
          <w:sz w:val="19"/>
        </w:rPr>
        <w:t>Amobee / Turn | Operations Solutions Engineer | Apr 2015-Jan 2016</w:t>
      </w:r>
      <w:r>
        <w:rPr>
          <w:rFonts w:ascii="Arial" w:hAnsi="Arial"/>
          <w:b w:val="0"/>
          <w:color w:val="172F43"/>
          <w:sz w:val="19"/>
        </w:rPr>
        <w:br/>
        <w:t>Operated Hadoop/HBase at up to ~400 nodes per cluster and 30 PB total capacity; delivered HA/DR, fleet refreshes, and Python/JMX monitoring.</w:t>
      </w:r>
    </w:p>
    <w:p>
      <w:pPr>
        <w:keepNext w:val="0"/>
        <w:keepLines/>
        <w:widowControl/>
        <w:spacing w:before="0" w:after="100" w:line="240" w:lineRule="exact"/>
      </w:pPr>
      <w:r>
        <w:rPr>
          <w:rFonts w:ascii="Arial" w:hAnsi="Arial"/>
          <w:b/>
          <w:color w:val="172F43"/>
          <w:sz w:val="19"/>
        </w:rPr>
        <w:t>Limelight Networks | Operations Engineer | Apr 2014-Apr 2015</w:t>
      </w:r>
      <w:r>
        <w:rPr>
          <w:rFonts w:ascii="Arial" w:hAnsi="Arial"/>
          <w:b w:val="0"/>
          <w:color w:val="172F43"/>
          <w:sz w:val="19"/>
        </w:rPr>
        <w:br/>
        <w:t>Designed HA/DR for Hadoop billing, maintained ~80-node video analytics, and tuned Hive/MapReduce.</w:t>
      </w:r>
    </w:p>
    <w:p>
      <w:pPr>
        <w:pStyle w:val="Heading1"/>
        <w:keepNext/>
        <w:widowControl/>
        <w:spacing w:before="140" w:after="80" w:line="240" w:lineRule="exact"/>
      </w:pPr>
      <w:r>
        <w:rPr>
          <w:rFonts w:ascii="Arial" w:hAnsi="Arial"/>
          <w:b/>
          <w:color w:val="007D87"/>
          <w:sz w:val="18"/>
        </w:rPr>
        <w:t>EDUCATION</w:t>
      </w:r>
    </w:p>
    <w:p>
      <w:pPr>
        <w:keepNext w:val="0"/>
        <w:widowControl/>
        <w:spacing w:before="0" w:after="60" w:line="240" w:lineRule="exact"/>
      </w:pPr>
      <w:r>
        <w:rPr>
          <w:rFonts w:ascii="Arial" w:hAnsi="Arial"/>
          <w:b w:val="0"/>
          <w:color w:val="172F43"/>
          <w:sz w:val="18"/>
        </w:rPr>
        <w:t>Bachelor of Technology, 2011.</w:t>
      </w:r>
    </w:p>
    <w:p>
      <w:pPr>
        <w:keepNext w:val="0"/>
        <w:widowControl/>
        <w:spacing w:before="0" w:after="60" w:line="240" w:lineRule="exact"/>
      </w:pPr>
      <w:r>
        <w:rPr>
          <w:rFonts w:ascii="Arial" w:hAnsi="Arial"/>
          <w:b w:val="0"/>
          <w:color w:val="172F43"/>
          <w:sz w:val="18"/>
        </w:rPr>
        <w:t>Graduate coursework in Computer Science: Texas A&amp;M University, 15 credits (2014); Montana State University, 15 credits (2013).</w:t>
      </w:r>
    </w:p>
    <w:sectPr w:rsidR="00FC693F" w:rsidRPr="0006063C" w:rsidSect="00034616">
      <w:headerReference w:type="default" r:id="rId44"/>
      <w:footerReference w:type="default" r:id="rId45"/>
      <w:footerReference w:type="first" r:id="rId46"/>
      <w:pgSz w:w="12240" w:h="15840"/>
      <w:pgMar w:top="800" w:right="880" w:bottom="940" w:left="880" w:header="460" w:footer="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widowControl/>
      <w:tabs>
        <w:tab w:pos="10480" w:val="right"/>
      </w:tabs>
      <w:spacing w:before="0" w:after="0" w:line="200" w:lineRule="exact"/>
      <w:pBdr>
        <w:top w:val="single" w:sz="4" w:color="D4DFE4" w:space="8"/>
      </w:pBdr>
    </w:pPr>
    <w:r>
      <w:rPr>
        <w:rFonts w:ascii="Arial" w:hAnsi="Arial"/>
        <w:b w:val="0"/>
        <w:color w:val="526372"/>
        <w:sz w:val="16"/>
      </w:rPr>
      <w:t>Venkata Ganji | AI Infrastructure &amp; Production Engineering</w:t>
    </w:r>
    <w:r>
      <w:rPr>
        <w:rFonts w:ascii="Arial" w:hAnsi="Arial"/>
        <w:b w:val="0"/>
        <w:color w:val="526372"/>
        <w:sz w:val="16"/>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widowControl/>
      <w:tabs>
        <w:tab w:pos="10480" w:val="right"/>
      </w:tabs>
      <w:spacing w:before="0" w:after="0" w:line="200" w:lineRule="exact"/>
      <w:pBdr>
        <w:top w:val="single" w:sz="4" w:color="D4DFE4" w:space="8"/>
      </w:pBdr>
    </w:pPr>
    <w:r>
      <w:rPr>
        <w:rFonts w:ascii="Arial" w:hAnsi="Arial"/>
        <w:b w:val="0"/>
        <w:color w:val="526372"/>
        <w:sz w:val="16"/>
      </w:rPr>
      <w:t>Venkata Ganji | AI Infrastructure &amp; Production Engineering</w:t>
    </w:r>
    <w:r>
      <w:rPr>
        <w:rFonts w:ascii="Arial" w:hAnsi="Arial"/>
        <w:b w:val="0"/>
        <w:color w:val="526372"/>
        <w:sz w:val="16"/>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widowControl/>
      <w:tabs>
        <w:tab w:pos="10480" w:val="right"/>
      </w:tabs>
      <w:spacing w:before="0" w:after="0" w:line="240" w:lineRule="exact"/>
    </w:pPr>
    <w:r>
      <w:rPr>
        <w:rFonts w:ascii="Arial" w:hAnsi="Arial"/>
        <w:b w:val="0"/>
        <w:color w:val="172F43"/>
        <w:sz w:val="18"/>
      </w:rPr>
      <w:t>VENKATA GANJI</w:t>
    </w:r>
    <w:r>
      <w:rPr>
        <w:rFonts w:ascii="Arial" w:hAnsi="Arial"/>
        <w:b w:val="0"/>
        <w:color w:val="172F43"/>
        <w:sz w:val="18"/>
      </w:rPr>
      <w:tab/>
      <w:t>PRODUCTION ENGINEERING / DISTRIBUTED SYSTEMS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exact" w:after="60"/>
    </w:pPr>
    <w:rPr>
      <w:rFonts w:ascii="Arial" w:hAnsi="Arial"/>
      <w:color w:val="172F4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2F4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F4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172F4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linkedin.com/in/venkata-sai-ganji-3a30a2a4" TargetMode="External"/><Relationship Id="rId11" Type="http://schemas.openxmlformats.org/officeDocument/2006/relationships/hyperlink" Target="https://offroadguy.github.io/"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header" Target="header1.xml"/><Relationship Id="rId45" Type="http://schemas.openxmlformats.org/officeDocument/2006/relationships/footer" Target="footer1.xml"/><Relationship Id="rId4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Venkata Ganji AI Platform SRE and Distributed Systems SME</dc:title>
  <dc:subject>Two-page AI platform ownership resume v3.8.0</dc:subject>
  <dc:creator>Venkata Ganji</dc:creator>
  <cp:keywords/>
  <dc:description>generated by python-docx</dc:description>
  <cp:lastModifiedBy/>
  <cp:revision>1</cp:revision>
  <dcterms:created xsi:type="dcterms:W3CDTF">2013-12-23T23:15:00Z</dcterms:created>
  <dcterms:modified xsi:type="dcterms:W3CDTF">2013-12-23T23:15:00Z</dcterms:modified>
  <cp:category/>
</cp:coreProperties>
</file>