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800"/>
        <w:gridCol w:w="1680"/>
      </w:tblGrid>
      <w:tr>
        <w:trPr>
          <w:cantSplit/>
        </w:trPr>
        <w:tc>
          <w:tcPr>
            <w:tcW w:type="dxa" w:w="88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Title"/>
              <w:keepNext w:val="0"/>
              <w:widowControl/>
              <w:spacing w:before="0" w:after="200" w:line="620" w:lineRule="exact"/>
            </w:pPr>
            <w:r>
              <w:rPr>
                <w:rFonts w:ascii="Arial" w:hAnsi="Arial"/>
                <w:b/>
                <w:color w:val="172F43"/>
                <w:sz w:val="54"/>
              </w:rPr>
              <w:t>VENKATA GANJI</w:t>
            </w:r>
          </w:p>
          <w:p>
            <w:pPr>
              <w:keepNext w:val="0"/>
              <w:widowControl/>
              <w:spacing w:before="0" w:after="80" w:line="240" w:lineRule="exact"/>
            </w:pPr>
            <w:r>
              <w:rPr>
                <w:rFonts w:ascii="Arial" w:hAnsi="Arial"/>
                <w:b/>
                <w:color w:val="007D87"/>
                <w:sz w:val="18"/>
              </w:rPr>
              <w:t>AI INGESTION, INFERENCE &amp; TOOLING SRE</w:t>
            </w:r>
          </w:p>
          <w:p>
            <w:pPr>
              <w:keepNext w:val="0"/>
              <w:widowControl/>
              <w:spacing w:before="0" w:after="80" w:line="240" w:lineRule="exact"/>
            </w:pPr>
            <w:r>
              <w:rPr>
                <w:rFonts w:ascii="Arial" w:hAnsi="Arial"/>
                <w:b/>
                <w:color w:val="007D87"/>
                <w:sz w:val="18"/>
              </w:rPr>
              <w:t>DISTRIBUTED SYSTEMS SME | MISSION-CRITICAL MIGRATIONS</w:t>
            </w:r>
          </w:p>
        </w:tc>
        <w:tc>
          <w:tcPr>
            <w:tcW w:type="dxa" w:w="16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widowControl/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90600" cy="990600"/>
                  <wp:docPr id="1" name="Picture 1" descr="LinkedIn profile QR code">
                    <a:hlinkClick r:id="rId10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kedin-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90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widowControl/>
        <w:spacing w:before="0" w:after="80" w:line="240" w:lineRule="exact"/>
      </w:pPr>
      <w:r>
        <w:rPr>
          <w:rFonts w:ascii="Arial" w:hAnsi="Arial"/>
          <w:b w:val="0"/>
          <w:color w:val="526372"/>
          <w:sz w:val="18"/>
        </w:rPr>
        <w:t>Concord, CA | 925-322-2650 | venkataganj.careers@gmail.com | No sponsorship required</w:t>
      </w:r>
    </w:p>
    <w:p>
      <w:pPr>
        <w:keepNext w:val="0"/>
        <w:widowControl/>
        <w:spacing w:before="0" w:after="320" w:line="240" w:lineRule="exact"/>
      </w:pPr>
      <w:hyperlink r:id="rId10">
        <w:r>
          <w:rPr>
            <w:rFonts w:ascii="Arial" w:hAnsi="Arial"/>
            <w:sz w:val="18"/>
            <w:color w:val="526372"/>
          </w:rPr>
          <w:t>linkedin.com/in/venkata-sai-ganji-3a30a2a4</w:t>
        </w:r>
      </w:hyperlink>
      <w:r>
        <w:rPr>
          <w:rFonts w:ascii="Arial" w:hAnsi="Arial"/>
          <w:b w:val="0"/>
          <w:color w:val="172F43"/>
          <w:sz w:val="17"/>
        </w:rPr>
        <w:t xml:space="preserve">  |  </w:t>
      </w:r>
      <w:hyperlink r:id="rId11">
        <w:r>
          <w:rPr>
            <w:rFonts w:ascii="Arial" w:hAnsi="Arial"/>
            <w:sz w:val="18"/>
            <w:color w:val="526372"/>
          </w:rPr>
          <w:t>Architecture Portfolio</w:t>
        </w:r>
      </w:hyperlink>
    </w:p>
    <w:p>
      <w:pPr>
        <w:keepNext w:val="0"/>
        <w:widowControl/>
        <w:spacing w:before="0" w:after="200" w:line="290" w:lineRule="exact"/>
      </w:pPr>
      <w:r>
        <w:rPr>
          <w:rFonts w:ascii="Arial" w:hAnsi="Arial"/>
          <w:b w:val="0"/>
          <w:color w:val="172F43"/>
          <w:sz w:val="20"/>
        </w:rPr>
        <w:t>AI ingestion, inference, and tooling SRE and distributed systems SME with 12+ years of production engineering experience. Owns platform design, automation, performance, and recovery across GPU-backed LLM serving, vector retrieval, and petabyte-scale data systems. Leads mission-critical distributed systems migrations and turns complex production problems into measurable improvements in reliability, latency, and cost.</w:t>
      </w:r>
    </w:p>
    <w:p>
      <w:pPr>
        <w:pStyle w:val="Heading1"/>
        <w:keepNext/>
        <w:widowControl/>
        <w:spacing w:before="200" w:after="160" w:line="240" w:lineRule="exact"/>
      </w:pPr>
      <w:r>
        <w:rPr>
          <w:rFonts w:ascii="Arial" w:hAnsi="Arial"/>
          <w:b/>
          <w:color w:val="007D87"/>
          <w:sz w:val="18"/>
        </w:rPr>
        <w:t>ENGINEERING HIGHLIGHTS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40"/>
        <w:gridCol w:w="5240"/>
      </w:tblGrid>
      <w:tr>
        <w:trPr>
          <w:cantSplit/>
          <w:cantSplit/>
          <w:cantSplit/>
        </w:trPr>
        <w:tc>
          <w:tcPr>
            <w:tcW w:type="dxa" w:w="5240"/>
            <w:tcMar>
              <w:top w:w="0" w:type="dxa"/>
              <w:bottom w:w="0" w:type="dxa"/>
              <w:left w:w="0" w:type="dxa"/>
              <w:right w:w="0" w:type="dxa"/>
            </w:tcMar>
            <w:tcMar>
              <w:top w:w="140" w:type="dxa"/>
              <w:bottom w:w="140" w:type="dxa"/>
              <w:left w:w="240" w:type="dxa"/>
              <w:right w:w="240" w:type="dxa"/>
            </w:tcMar>
            <w:shd w:fill="EDF4F6"/>
            <w:tcBorders>
              <w:top w:val="single" w:sz="8" w:color="FFFFFF"/>
              <w:bottom w:val="single" w:sz="8" w:color="FFFFFF"/>
              <w:left w:val="single" w:sz="8" w:color="FFFFFF"/>
              <w:right w:val="single" w:sz="8" w:color="FFFFFF"/>
            </w:tcBorders>
          </w:tcPr>
          <w:p>
            <w:pPr>
              <w:keepNext/>
              <w:widowControl/>
              <w:spacing w:before="0" w:after="0" w:line="260" w:lineRule="exact"/>
            </w:pPr>
            <w:r>
              <w:rPr>
                <w:rFonts w:ascii="Arial" w:hAnsi="Arial"/>
                <w:b/>
                <w:color w:val="172F43"/>
                <w:sz w:val="20"/>
              </w:rPr>
              <w:t>LLM model serving</w:t>
            </w:r>
          </w:p>
          <w:p>
            <w:pPr>
              <w:keepNext w:val="0"/>
              <w:widowControl/>
              <w:spacing w:before="0" w:after="0" w:line="260" w:lineRule="exact"/>
            </w:pPr>
            <w:r>
              <w:rPr>
                <w:rFonts w:ascii="Arial" w:hAnsi="Arial"/>
                <w:b w:val="0"/>
                <w:color w:val="526372"/>
                <w:sz w:val="17"/>
              </w:rPr>
              <w:t>vLLM, Helm/Argo CD, GPU-backed EKS</w:t>
            </w:r>
          </w:p>
        </w:tc>
        <w:tc>
          <w:tcPr>
            <w:tcW w:type="dxa" w:w="5240"/>
            <w:tcMar>
              <w:top w:w="0" w:type="dxa"/>
              <w:bottom w:w="0" w:type="dxa"/>
              <w:left w:w="0" w:type="dxa"/>
              <w:right w:w="0" w:type="dxa"/>
            </w:tcMar>
            <w:tcMar>
              <w:top w:w="140" w:type="dxa"/>
              <w:bottom w:w="140" w:type="dxa"/>
              <w:left w:w="240" w:type="dxa"/>
              <w:right w:w="240" w:type="dxa"/>
            </w:tcMar>
            <w:shd w:fill="EDF4F6"/>
            <w:tcBorders>
              <w:top w:val="single" w:sz="8" w:color="FFFFFF"/>
              <w:bottom w:val="single" w:sz="8" w:color="FFFFFF"/>
              <w:left w:val="single" w:sz="8" w:color="FFFFFF"/>
              <w:right w:val="single" w:sz="8" w:color="FFFFFF"/>
            </w:tcBorders>
          </w:tcPr>
          <w:p>
            <w:pPr>
              <w:keepNext/>
              <w:widowControl/>
              <w:spacing w:before="0" w:after="0" w:line="260" w:lineRule="exact"/>
            </w:pPr>
            <w:r>
              <w:rPr>
                <w:rFonts w:ascii="Arial" w:hAnsi="Arial"/>
                <w:b/>
                <w:color w:val="172F43"/>
                <w:sz w:val="20"/>
              </w:rPr>
              <w:t>Distributed systems SME</w:t>
            </w:r>
          </w:p>
          <w:p>
            <w:pPr>
              <w:keepNext w:val="0"/>
              <w:widowControl/>
              <w:spacing w:before="0" w:after="0" w:line="260" w:lineRule="exact"/>
            </w:pPr>
            <w:r>
              <w:rPr>
                <w:rFonts w:ascii="Arial" w:hAnsi="Arial"/>
                <w:b w:val="0"/>
                <w:color w:val="526372"/>
                <w:sz w:val="17"/>
              </w:rPr>
              <w:t>Petabyte-scale storage, ingestion and recovery</w:t>
            </w:r>
          </w:p>
        </w:tc>
      </w:tr>
      <w:tr>
        <w:trPr>
          <w:cantSplit/>
          <w:cantSplit/>
        </w:trPr>
        <w:tc>
          <w:tcPr>
            <w:tcW w:type="dxa" w:w="5240"/>
            <w:tcMar>
              <w:top w:w="140" w:type="dxa"/>
              <w:bottom w:w="140" w:type="dxa"/>
              <w:left w:w="240" w:type="dxa"/>
              <w:right w:w="240" w:type="dxa"/>
            </w:tcMar>
            <w:shd w:fill="EDF4F6"/>
            <w:tcBorders>
              <w:top w:val="single" w:sz="8" w:color="FFFFFF"/>
              <w:bottom w:val="single" w:sz="8" w:color="FFFFFF"/>
              <w:left w:val="single" w:sz="8" w:color="FFFFFF"/>
              <w:right w:val="single" w:sz="8" w:color="FFFFFF"/>
            </w:tcBorders>
          </w:tcPr>
          <w:p>
            <w:pPr>
              <w:keepNext/>
              <w:widowControl/>
              <w:spacing w:before="0" w:after="0" w:line="260" w:lineRule="exact"/>
            </w:pPr>
            <w:r>
              <w:rPr>
                <w:rFonts w:ascii="Arial" w:hAnsi="Arial"/>
                <w:b/>
                <w:color w:val="172F43"/>
                <w:sz w:val="20"/>
              </w:rPr>
              <w:t>Vector database ownership</w:t>
            </w:r>
          </w:p>
          <w:p>
            <w:pPr>
              <w:keepNext w:val="0"/>
              <w:widowControl/>
              <w:spacing w:before="0" w:after="0" w:line="260" w:lineRule="exact"/>
            </w:pPr>
            <w:r>
              <w:rPr>
                <w:rFonts w:ascii="Arial" w:hAnsi="Arial"/>
                <w:b w:val="0"/>
                <w:color w:val="526372"/>
                <w:sz w:val="17"/>
              </w:rPr>
              <w:t>250+ nodes across Solr, Milvus, OpenSearch</w:t>
            </w:r>
          </w:p>
        </w:tc>
        <w:tc>
          <w:tcPr>
            <w:tcW w:type="dxa" w:w="5240"/>
            <w:tcMar>
              <w:top w:w="140" w:type="dxa"/>
              <w:bottom w:w="140" w:type="dxa"/>
              <w:left w:w="240" w:type="dxa"/>
              <w:right w:w="240" w:type="dxa"/>
            </w:tcMar>
            <w:shd w:fill="EDF4F6"/>
            <w:tcBorders>
              <w:top w:val="single" w:sz="8" w:color="FFFFFF"/>
              <w:bottom w:val="single" w:sz="8" w:color="FFFFFF"/>
              <w:left w:val="single" w:sz="8" w:color="FFFFFF"/>
              <w:right w:val="single" w:sz="8" w:color="FFFFFF"/>
            </w:tcBorders>
          </w:tcPr>
          <w:p>
            <w:pPr>
              <w:keepNext/>
              <w:widowControl/>
              <w:spacing w:before="0" w:after="0" w:line="260" w:lineRule="exact"/>
            </w:pPr>
            <w:r>
              <w:rPr>
                <w:rFonts w:ascii="Arial" w:hAnsi="Arial"/>
                <w:b/>
                <w:color w:val="172F43"/>
                <w:sz w:val="20"/>
              </w:rPr>
              <w:t>Mission-critical migrations</w:t>
            </w:r>
          </w:p>
          <w:p>
            <w:pPr>
              <w:keepNext w:val="0"/>
              <w:widowControl/>
              <w:spacing w:before="0" w:after="0" w:line="260" w:lineRule="exact"/>
            </w:pPr>
            <w:r>
              <w:rPr>
                <w:rFonts w:ascii="Arial" w:hAnsi="Arial"/>
                <w:b w:val="0"/>
                <w:color w:val="526372"/>
                <w:sz w:val="17"/>
              </w:rPr>
              <w:t>Hadoop, Solr, HBase and cloud platforms</w:t>
            </w:r>
          </w:p>
        </w:tc>
      </w:tr>
      <w:tr>
        <w:trPr>
          <w:cantSplit/>
          <w:cantSplit/>
        </w:trPr>
        <w:tc>
          <w:tcPr>
            <w:tcW w:type="dxa" w:w="5240"/>
            <w:tcMar>
              <w:top w:w="140" w:type="dxa"/>
              <w:bottom w:w="140" w:type="dxa"/>
              <w:left w:w="240" w:type="dxa"/>
              <w:right w:w="240" w:type="dxa"/>
            </w:tcMar>
            <w:shd w:fill="EDF4F6"/>
            <w:tcBorders>
              <w:top w:val="single" w:sz="8" w:color="FFFFFF"/>
              <w:bottom w:val="single" w:sz="8" w:color="FFFFFF"/>
              <w:left w:val="single" w:sz="8" w:color="FFFFFF"/>
              <w:right w:val="single" w:sz="8" w:color="FFFFFF"/>
            </w:tcBorders>
          </w:tcPr>
          <w:p>
            <w:pPr>
              <w:keepNext/>
              <w:widowControl/>
              <w:spacing w:before="0" w:after="0" w:line="260" w:lineRule="exact"/>
            </w:pPr>
            <w:r>
              <w:rPr>
                <w:rFonts w:ascii="Arial" w:hAnsi="Arial"/>
                <w:b/>
                <w:color w:val="172F43"/>
                <w:sz w:val="20"/>
              </w:rPr>
              <w:t>Observability: logs to alerts</w:t>
            </w:r>
          </w:p>
          <w:p>
            <w:pPr>
              <w:keepNext w:val="0"/>
              <w:widowControl/>
              <w:spacing w:before="0" w:after="0" w:line="260" w:lineRule="exact"/>
            </w:pPr>
            <w:r>
              <w:rPr>
                <w:rFonts w:ascii="Arial" w:hAnsi="Arial"/>
                <w:b w:val="0"/>
                <w:color w:val="526372"/>
                <w:sz w:val="17"/>
              </w:rPr>
              <w:t>Logging, metrics, dashboards, alerting</w:t>
            </w:r>
          </w:p>
        </w:tc>
        <w:tc>
          <w:tcPr>
            <w:tcW w:type="dxa" w:w="5240"/>
            <w:tcMar>
              <w:top w:w="140" w:type="dxa"/>
              <w:bottom w:w="140" w:type="dxa"/>
              <w:left w:w="240" w:type="dxa"/>
              <w:right w:w="240" w:type="dxa"/>
            </w:tcMar>
            <w:shd w:fill="EDF4F6"/>
            <w:tcBorders>
              <w:top w:val="single" w:sz="8" w:color="FFFFFF"/>
              <w:bottom w:val="single" w:sz="8" w:color="FFFFFF"/>
              <w:left w:val="single" w:sz="8" w:color="FFFFFF"/>
              <w:right w:val="single" w:sz="8" w:color="FFFFFF"/>
            </w:tcBorders>
          </w:tcPr>
          <w:p>
            <w:pPr>
              <w:keepNext/>
              <w:widowControl/>
              <w:spacing w:before="0" w:after="0" w:line="260" w:lineRule="exact"/>
            </w:pPr>
            <w:r>
              <w:rPr>
                <w:rFonts w:ascii="Arial" w:hAnsi="Arial"/>
                <w:b/>
                <w:color w:val="172F43"/>
                <w:sz w:val="20"/>
              </w:rPr>
              <w:t>End-to-end IaC tooling</w:t>
            </w:r>
          </w:p>
          <w:p>
            <w:pPr>
              <w:keepNext w:val="0"/>
              <w:widowControl/>
              <w:spacing w:before="0" w:after="0" w:line="260" w:lineRule="exact"/>
            </w:pPr>
            <w:r>
              <w:rPr>
                <w:rFonts w:ascii="Arial" w:hAnsi="Arial"/>
                <w:b w:val="0"/>
                <w:color w:val="526372"/>
                <w:sz w:val="17"/>
              </w:rPr>
              <w:t>Terraform, CloudFormation, Ansible, Python</w:t>
            </w:r>
          </w:p>
        </w:tc>
      </w:tr>
      <w:tr>
        <w:trPr>
          <w:cantSplit/>
          <w:cantSplit/>
        </w:trPr>
        <w:tc>
          <w:tcPr>
            <w:tcW w:type="dxa" w:w="5240"/>
            <w:tcMar>
              <w:top w:w="140" w:type="dxa"/>
              <w:bottom w:w="140" w:type="dxa"/>
              <w:left w:w="240" w:type="dxa"/>
              <w:right w:w="240" w:type="dxa"/>
            </w:tcMar>
            <w:shd w:fill="EDF4F6"/>
            <w:tcBorders>
              <w:top w:val="single" w:sz="8" w:color="FFFFFF"/>
              <w:bottom w:val="single" w:sz="8" w:color="FFFFFF"/>
              <w:left w:val="single" w:sz="8" w:color="FFFFFF"/>
              <w:right w:val="single" w:sz="8" w:color="FFFFFF"/>
            </w:tcBorders>
          </w:tcPr>
          <w:p>
            <w:pPr>
              <w:keepNext/>
              <w:widowControl/>
              <w:spacing w:before="0" w:after="0" w:line="260" w:lineRule="exact"/>
            </w:pPr>
            <w:r>
              <w:rPr>
                <w:rFonts w:ascii="Arial" w:hAnsi="Arial"/>
                <w:b/>
                <w:color w:val="172F43"/>
                <w:sz w:val="20"/>
              </w:rPr>
              <w:t>Disaster recovery</w:t>
            </w:r>
          </w:p>
          <w:p>
            <w:pPr>
              <w:keepNext w:val="0"/>
              <w:widowControl/>
              <w:spacing w:before="0" w:after="0" w:line="260" w:lineRule="exact"/>
            </w:pPr>
            <w:r>
              <w:rPr>
                <w:rFonts w:ascii="Arial" w:hAnsi="Arial"/>
                <w:b w:val="0"/>
                <w:color w:val="526372"/>
                <w:sz w:val="17"/>
              </w:rPr>
              <w:t>~15-minute RPO / ~2-hour RTO</w:t>
            </w:r>
          </w:p>
        </w:tc>
        <w:tc>
          <w:tcPr>
            <w:tcW w:type="dxa" w:w="5240"/>
            <w:tcMar>
              <w:top w:w="140" w:type="dxa"/>
              <w:bottom w:w="140" w:type="dxa"/>
              <w:left w:w="240" w:type="dxa"/>
              <w:right w:w="240" w:type="dxa"/>
            </w:tcMar>
            <w:shd w:fill="EDF4F6"/>
            <w:tcBorders>
              <w:top w:val="single" w:sz="8" w:color="FFFFFF"/>
              <w:bottom w:val="single" w:sz="8" w:color="FFFFFF"/>
              <w:left w:val="single" w:sz="8" w:color="FFFFFF"/>
              <w:right w:val="single" w:sz="8" w:color="FFFFFF"/>
            </w:tcBorders>
          </w:tcPr>
          <w:p>
            <w:pPr>
              <w:keepNext/>
              <w:widowControl/>
              <w:spacing w:before="0" w:after="0" w:line="260" w:lineRule="exact"/>
            </w:pPr>
            <w:r>
              <w:rPr>
                <w:rFonts w:ascii="Arial" w:hAnsi="Arial"/>
                <w:b/>
                <w:color w:val="172F43"/>
                <w:sz w:val="20"/>
              </w:rPr>
              <w:t>Performance tuning</w:t>
            </w:r>
          </w:p>
          <w:p>
            <w:pPr>
              <w:keepNext w:val="0"/>
              <w:widowControl/>
              <w:spacing w:before="0" w:after="0" w:line="260" w:lineRule="exact"/>
            </w:pPr>
            <w:r>
              <w:rPr>
                <w:rFonts w:ascii="Arial" w:hAnsi="Arial"/>
                <w:b w:val="0"/>
                <w:color w:val="526372"/>
                <w:sz w:val="17"/>
              </w:rPr>
              <w:t>JVM/GC, query/index, cache and OS tuning</w:t>
            </w:r>
          </w:p>
        </w:tc>
      </w:tr>
      <w:tr>
        <w:trPr>
          <w:cantSplit/>
        </w:trPr>
        <w:tc>
          <w:tcPr>
            <w:tcW w:type="dxa" w:w="10480"/>
            <w:tcMar>
              <w:top w:w="140" w:type="dxa"/>
              <w:bottom w:w="140" w:type="dxa"/>
              <w:left w:w="240" w:type="dxa"/>
              <w:right w:w="240" w:type="dxa"/>
            </w:tcMar>
            <w:shd w:fill="EDF4F6"/>
            <w:gridSpan w:val="2"/>
            <w:tcBorders>
              <w:top w:val="single" w:sz="8" w:color="FFFFFF"/>
              <w:bottom w:val="single" w:sz="8" w:color="FFFFFF"/>
              <w:left w:val="single" w:sz="8" w:color="FFFFFF"/>
              <w:right w:val="single" w:sz="8" w:color="FFFFFF"/>
            </w:tcBorders>
          </w:tcPr>
          <w:p>
            <w:pPr>
              <w:keepNext/>
              <w:widowControl/>
              <w:spacing w:before="0" w:after="0" w:line="260" w:lineRule="exact"/>
            </w:pPr>
            <w:r>
              <w:rPr>
                <w:rFonts w:ascii="Arial" w:hAnsi="Arial"/>
                <w:b/>
                <w:color w:val="172F43"/>
                <w:sz w:val="20"/>
              </w:rPr>
              <w:t>Cybersecurity telemetry</w:t>
            </w:r>
          </w:p>
          <w:p>
            <w:pPr>
              <w:keepNext w:val="0"/>
              <w:widowControl/>
              <w:spacing w:before="0" w:after="0" w:line="260" w:lineRule="exact"/>
            </w:pPr>
            <w:r>
              <w:rPr>
                <w:rFonts w:ascii="Arial" w:hAnsi="Arial"/>
                <w:b w:val="0"/>
                <w:color w:val="526372"/>
                <w:sz w:val="17"/>
              </w:rPr>
              <w:t>PCAP, NetFlow, application logs, firewall events</w:t>
            </w:r>
          </w:p>
        </w:tc>
      </w:tr>
    </w:tbl>
    <w:p>
      <w:pPr>
        <w:pStyle w:val="Heading1"/>
        <w:keepNext/>
        <w:widowControl/>
        <w:spacing w:before="200" w:after="160" w:line="240" w:lineRule="exact"/>
      </w:pPr>
      <w:r>
        <w:rPr>
          <w:rFonts w:ascii="Arial" w:hAnsi="Arial"/>
          <w:b/>
          <w:color w:val="007D87"/>
          <w:sz w:val="18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00"/>
        <w:gridCol w:w="6520"/>
        <w:gridCol w:w="2560"/>
      </w:tblGrid>
      <w:tr>
        <w:trPr>
          <w:cantSplit/>
        </w:trPr>
        <w:tc>
          <w:tcPr>
            <w:tcW w:type="dxa" w:w="1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7934" cy="304800"/>
                  <wp:docPr id="2" name="Picture 2" descr="Apple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34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before="0" w:after="60" w:line="300" w:lineRule="exact"/>
            </w:pPr>
            <w:r>
              <w:rPr>
                <w:rFonts w:ascii="Arial" w:hAnsi="Arial"/>
                <w:b/>
                <w:color w:val="172F43"/>
                <w:sz w:val="24"/>
              </w:rPr>
              <w:t>Apple</w:t>
            </w:r>
          </w:p>
          <w:p>
            <w:pPr>
              <w:keepNext/>
              <w:widowControl/>
              <w:spacing w:before="0" w:after="100" w:line="240" w:lineRule="exact"/>
            </w:pPr>
            <w:r>
              <w:rPr>
                <w:rFonts w:ascii="Arial" w:hAnsi="Arial"/>
                <w:b w:val="0"/>
                <w:color w:val="172F43"/>
                <w:sz w:val="18"/>
              </w:rPr>
              <w:t>GenAI Platform Engineering &amp; Cloud Architect</w:t>
            </w:r>
          </w:p>
        </w:tc>
        <w:tc>
          <w:tcPr>
            <w:tcW w:type="dxa" w:w="25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before="0" w:after="0" w:line="300" w:lineRule="exact"/>
              <w:jc w:val="right"/>
            </w:pPr>
            <w:r>
              <w:rPr>
                <w:rFonts w:ascii="Arial" w:hAnsi="Arial"/>
                <w:b w:val="0"/>
                <w:color w:val="526372"/>
                <w:sz w:val="18"/>
              </w:rPr>
              <w:t>Apr 2024 - Aug 2026</w:t>
            </w:r>
          </w:p>
        </w:tc>
      </w:tr>
    </w:tbl>
    <w:p>
      <w:pPr>
        <w:keepNext/>
        <w:widowControl/>
        <w:spacing w:before="0" w:after="140" w:line="240" w:lineRule="exact"/>
      </w:pPr>
      <w:r>
        <w:rPr>
          <w:rFonts w:ascii="Arial" w:hAnsi="Arial"/>
          <w:b w:val="0"/>
          <w:color w:val="526372"/>
          <w:sz w:val="18"/>
        </w:rPr>
        <w:t>Contract via Mphasis Corp | GenAI retrieval, model serving, ingestion, and reliability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/>
          <w:color w:val="172F43"/>
          <w:sz w:val="20"/>
        </w:rPr>
        <w:t>LLM platform ownership.</w:t>
      </w:r>
      <w:r>
        <w:rPr>
          <w:rFonts w:ascii="Arial" w:hAnsi="Arial"/>
          <w:b w:val="0"/>
          <w:color w:val="172F43"/>
          <w:sz w:val="20"/>
        </w:rPr>
        <w:t xml:space="preserve"> Developed and co-owned Helm/Argo CD tooling for onboarding and deploying vLLM models on a dedicated GPU-backed EKS cluster, integrated with the ingestion and inference platform on a separate EKS cluster.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/>
          <w:color w:val="172F43"/>
          <w:sz w:val="20"/>
        </w:rPr>
        <w:t>Model artifact lifecycle.</w:t>
      </w:r>
      <w:r>
        <w:rPr>
          <w:rFonts w:ascii="Arial" w:hAnsi="Arial"/>
          <w:b w:val="0"/>
          <w:color w:val="172F43"/>
          <w:sz w:val="20"/>
        </w:rPr>
        <w:t xml:space="preserve"> Implemented S3-to-FSx for Lustre staging, checksum generation and startup verification, shared model volumes, read-only serving mounts, and Kubernetes credential integration.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/>
          <w:color w:val="172F43"/>
          <w:sz w:val="20"/>
        </w:rPr>
        <w:t>Inference serving.</w:t>
      </w:r>
      <w:r>
        <w:rPr>
          <w:rFonts w:ascii="Arial" w:hAnsi="Arial"/>
          <w:b w:val="0"/>
          <w:color w:val="172F43"/>
          <w:sz w:val="20"/>
        </w:rPr>
        <w:t xml:space="preserve"> Configured tensor parallelism, precision, context limits, GPU memory budgets, and LoRA adapter serving; maintained custom vLLM images and a 122B FP8 deployment configuration with four two-GPU replicas.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/>
          <w:color w:val="172F43"/>
          <w:sz w:val="20"/>
        </w:rPr>
        <w:t>Distributed retrieval at scale.</w:t>
      </w:r>
      <w:r>
        <w:rPr>
          <w:rFonts w:ascii="Arial" w:hAnsi="Arial"/>
          <w:b w:val="0"/>
          <w:color w:val="172F43"/>
          <w:sz w:val="20"/>
        </w:rPr>
        <w:t xml:space="preserve"> Expanded and automated infrastructure from approximately 10 to 250+ nodes, supporting about 200 TB of vector indices across Solr, Milvus, and OpenSearch.</w:t>
      </w:r>
    </w:p>
    <w:p>
      <w:r>
        <w:br w:type="page"/>
      </w:r>
    </w:p>
    <w:p>
      <w:pPr>
        <w:pStyle w:val="Heading1"/>
        <w:keepNext/>
        <w:widowControl/>
        <w:spacing w:before="200" w:after="160" w:line="240" w:lineRule="exact"/>
      </w:pPr>
      <w:r>
        <w:rPr>
          <w:rFonts w:ascii="Arial" w:hAnsi="Arial"/>
          <w:b/>
          <w:color w:val="007D87"/>
          <w:sz w:val="18"/>
        </w:rPr>
        <w:t>PROFESSIONAL EXPERIENCE | CONTINUED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00"/>
        <w:gridCol w:w="6520"/>
        <w:gridCol w:w="2560"/>
      </w:tblGrid>
      <w:tr>
        <w:trPr>
          <w:cantSplit/>
        </w:trPr>
        <w:tc>
          <w:tcPr>
            <w:tcW w:type="dxa" w:w="1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7934" cy="304800"/>
                  <wp:docPr id="3" name="Picture 3" descr="Apple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34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before="0" w:after="60" w:line="300" w:lineRule="exact"/>
            </w:pPr>
            <w:r>
              <w:rPr>
                <w:rFonts w:ascii="Arial" w:hAnsi="Arial"/>
                <w:b/>
                <w:color w:val="172F43"/>
                <w:sz w:val="24"/>
              </w:rPr>
              <w:t>Apple | Continued</w:t>
            </w:r>
          </w:p>
          <w:p>
            <w:pPr>
              <w:keepNext/>
              <w:widowControl/>
              <w:spacing w:before="0" w:after="100" w:line="240" w:lineRule="exact"/>
            </w:pPr>
            <w:r>
              <w:rPr>
                <w:rFonts w:ascii="Arial" w:hAnsi="Arial"/>
                <w:b w:val="0"/>
                <w:color w:val="172F43"/>
                <w:sz w:val="18"/>
              </w:rPr>
              <w:t>GenAI Platform Engineering &amp; Cloud Architect</w:t>
            </w:r>
          </w:p>
        </w:tc>
        <w:tc>
          <w:tcPr>
            <w:tcW w:type="dxa" w:w="25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before="0" w:after="0" w:line="300" w:lineRule="exact"/>
              <w:jc w:val="right"/>
            </w:pPr>
            <w:r>
              <w:rPr>
                <w:rFonts w:ascii="Arial" w:hAnsi="Arial"/>
                <w:b w:val="0"/>
                <w:color w:val="526372"/>
                <w:sz w:val="18"/>
              </w:rPr>
              <w:t>Apr 2024 - Aug 2026</w:t>
            </w:r>
          </w:p>
        </w:tc>
      </w:tr>
    </w:tbl>
    <w:p>
      <w:pPr>
        <w:keepNext/>
        <w:widowControl/>
        <w:spacing w:before="0" w:after="140" w:line="240" w:lineRule="exact"/>
      </w:pPr>
      <w:r>
        <w:rPr>
          <w:rFonts w:ascii="Arial" w:hAnsi="Arial"/>
          <w:b w:val="0"/>
          <w:color w:val="526372"/>
          <w:sz w:val="18"/>
        </w:rPr>
        <w:t>Contract via Mphasis Corp | GenAI retrieval, model serving, ingestion, and reliability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/>
          <w:color w:val="172F43"/>
          <w:sz w:val="20"/>
        </w:rPr>
        <w:t>Performance engineering.</w:t>
      </w:r>
      <w:r>
        <w:rPr>
          <w:rFonts w:ascii="Arial" w:hAnsi="Arial"/>
          <w:b w:val="0"/>
          <w:color w:val="172F43"/>
          <w:sz w:val="20"/>
        </w:rPr>
        <w:t xml:space="preserve"> Reduced vector-query latency from approximately 7.0s to 1.9s through JVM/GC, OS, cache, query, and index tuning against production workloads.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/>
          <w:color w:val="172F43"/>
          <w:sz w:val="20"/>
        </w:rPr>
        <w:t>Capacity and cost.</w:t>
      </w:r>
      <w:r>
        <w:rPr>
          <w:rFonts w:ascii="Arial" w:hAnsi="Arial"/>
          <w:b w:val="0"/>
          <w:color w:val="172F43"/>
          <w:sz w:val="20"/>
        </w:rPr>
        <w:t xml:space="preserve"> Architected a 200-node Solr migration to AWS Graviton/ARM64, maintaining query throughput and approximately 3,200 vCPU / 12.8 TB RAM capacity while reducing cost 19.8% ($266K+ annualized).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/>
          <w:color w:val="172F43"/>
          <w:sz w:val="20"/>
        </w:rPr>
        <w:t>Production reliability.</w:t>
      </w:r>
      <w:r>
        <w:rPr>
          <w:rFonts w:ascii="Arial" w:hAnsi="Arial"/>
          <w:b w:val="0"/>
          <w:color w:val="172F43"/>
          <w:sz w:val="20"/>
        </w:rPr>
        <w:t xml:space="preserve"> Helped reduce incidents from approximately 20/day to 2/week through observability, automation, and recurring-failure remediation; served as escalation SME for pod crashes, memory pressure, storage failures, and latency.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/>
          <w:color w:val="172F43"/>
          <w:sz w:val="20"/>
        </w:rPr>
        <w:t>End-to-end infrastructure ownership.</w:t>
      </w:r>
      <w:r>
        <w:rPr>
          <w:rFonts w:ascii="Arial" w:hAnsi="Arial"/>
          <w:b w:val="0"/>
          <w:color w:val="172F43"/>
          <w:sz w:val="20"/>
        </w:rPr>
        <w:t xml:space="preserve"> Authored and owned Solr IaC and lifecycle tooling with Terraform, CloudFormation, Ansible and Python. Productionized 10+ GenAI microservices across Dev/UAT/Production, including manifests, routing, observability and deployment diagnosis.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/>
          <w:color w:val="172F43"/>
          <w:sz w:val="20"/>
        </w:rPr>
        <w:t>Platform efficiency.</w:t>
      </w:r>
      <w:r>
        <w:rPr>
          <w:rFonts w:ascii="Arial" w:hAnsi="Arial"/>
          <w:b w:val="0"/>
          <w:color w:val="172F43"/>
          <w:sz w:val="20"/>
        </w:rPr>
        <w:t xml:space="preserve"> Designed and productionized an EC2 Mac document-conversion platform with application developers, saving approximately $16K/month.</w:t>
      </w:r>
    </w:p>
    <w:p>
      <w:pPr>
        <w:pStyle w:val="Heading1"/>
        <w:keepNext/>
        <w:widowControl/>
        <w:spacing w:before="200" w:after="160" w:line="240" w:lineRule="exact"/>
      </w:pPr>
      <w:r>
        <w:rPr>
          <w:rFonts w:ascii="Arial" w:hAnsi="Arial"/>
          <w:b/>
          <w:color w:val="007D87"/>
          <w:sz w:val="18"/>
        </w:rPr>
        <w:t>CLOUDWICK TECHNOLOGIES INC | APR 2014 - APR 2024</w:t>
      </w:r>
    </w:p>
    <w:p>
      <w:pPr>
        <w:keepNext/>
        <w:widowControl/>
        <w:spacing w:before="0" w:after="140" w:line="240" w:lineRule="exact"/>
      </w:pPr>
      <w:r>
        <w:rPr>
          <w:rFonts w:ascii="Arial" w:hAnsi="Arial"/>
          <w:b w:val="0"/>
          <w:color w:val="526372"/>
          <w:sz w:val="18"/>
        </w:rPr>
        <w:t>Full-time employer | Selected client engagements and engineering leadership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00"/>
        <w:gridCol w:w="6520"/>
        <w:gridCol w:w="2560"/>
      </w:tblGrid>
      <w:tr>
        <w:trPr>
          <w:cantSplit/>
        </w:trPr>
        <w:tc>
          <w:tcPr>
            <w:tcW w:type="dxa" w:w="1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6600" cy="187870"/>
                  <wp:docPr id="4" name="Picture 4" descr="Amgen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ge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187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before="0" w:after="60" w:line="300" w:lineRule="exact"/>
            </w:pPr>
            <w:r>
              <w:rPr>
                <w:rFonts w:ascii="Arial" w:hAnsi="Arial"/>
                <w:b/>
                <w:color w:val="172F43"/>
                <w:sz w:val="24"/>
              </w:rPr>
              <w:t>Amgen</w:t>
            </w:r>
          </w:p>
          <w:p>
            <w:pPr>
              <w:keepNext/>
              <w:widowControl/>
              <w:spacing w:before="0" w:after="100" w:line="240" w:lineRule="exact"/>
            </w:pPr>
            <w:r>
              <w:rPr>
                <w:rFonts w:ascii="Arial" w:hAnsi="Arial"/>
                <w:b w:val="0"/>
                <w:color w:val="172F43"/>
                <w:sz w:val="18"/>
              </w:rPr>
              <w:t>AWS Cloud Solutions &amp; Migration Engineer</w:t>
            </w:r>
          </w:p>
        </w:tc>
        <w:tc>
          <w:tcPr>
            <w:tcW w:type="dxa" w:w="25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before="0" w:after="0" w:line="300" w:lineRule="exact"/>
              <w:jc w:val="right"/>
            </w:pPr>
            <w:r>
              <w:rPr>
                <w:rFonts w:ascii="Arial" w:hAnsi="Arial"/>
                <w:b w:val="0"/>
                <w:color w:val="526372"/>
                <w:sz w:val="18"/>
              </w:rPr>
              <w:t>Sep 2023 - Apr 2024</w:t>
            </w:r>
          </w:p>
        </w:tc>
      </w:tr>
    </w:tbl>
    <w:p>
      <w:pPr>
        <w:keepNext/>
        <w:widowControl/>
        <w:spacing w:before="0" w:after="140" w:line="240" w:lineRule="exact"/>
      </w:pPr>
      <w:r>
        <w:rPr>
          <w:rFonts w:ascii="Arial" w:hAnsi="Arial"/>
          <w:b w:val="0"/>
          <w:color w:val="526372"/>
          <w:sz w:val="18"/>
        </w:rPr>
        <w:t>Cloudwick client engagement | Cloud modernization and GenAI platform infrastructure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 w:val="0"/>
          <w:color w:val="172F43"/>
          <w:sz w:val="20"/>
        </w:rPr>
        <w:t>Migrated 100+ critical AWS accounts from legacy Landing Zone patterns to Control Tower and Organizations; built repeatable Python, CloudFormation, CDK, Service Catalog, and SSM migration workflows.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 w:val="0"/>
          <w:color w:val="172F43"/>
          <w:sz w:val="20"/>
        </w:rPr>
        <w:t>Implemented secure S3 data-migration workflows with boto3, S3 Batch Operations, IAM, and KMS; coordinated account owners and business stakeholders through controlled production changes.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 w:val="0"/>
          <w:color w:val="172F43"/>
          <w:sz w:val="20"/>
        </w:rPr>
        <w:t>Built and performance-tuned vector-database infrastructure, resolved GenAI ingestion-pipeline failures, and developed Kubernetes deployment pipelines and Python monitoring integrations.</w:t>
      </w:r>
    </w:p>
    <w:p>
      <w:r>
        <w:br w:type="page"/>
      </w:r>
    </w:p>
    <w:p>
      <w:pPr>
        <w:pStyle w:val="Heading1"/>
        <w:keepNext/>
        <w:widowControl/>
        <w:spacing w:before="200" w:after="160" w:line="240" w:lineRule="exact"/>
      </w:pPr>
      <w:r>
        <w:rPr>
          <w:rFonts w:ascii="Arial" w:hAnsi="Arial"/>
          <w:b/>
          <w:color w:val="007D87"/>
          <w:sz w:val="18"/>
        </w:rPr>
        <w:t>CLOUD ARCHITECTURE &amp; DISTRIBUTED DATA | CLOUDWICK CONTINUED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00"/>
        <w:gridCol w:w="6520"/>
        <w:gridCol w:w="2560"/>
      </w:tblGrid>
      <w:tr>
        <w:trPr>
          <w:cantSplit/>
        </w:trPr>
        <w:tc>
          <w:tcPr>
            <w:tcW w:type="dxa" w:w="1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6600" cy="167903"/>
                  <wp:docPr id="5" name="Picture 5" descr="Freddie Mac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ddi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167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before="0" w:after="60" w:line="300" w:lineRule="exact"/>
            </w:pPr>
            <w:r>
              <w:rPr>
                <w:rFonts w:ascii="Arial" w:hAnsi="Arial"/>
                <w:b/>
                <w:color w:val="172F43"/>
                <w:sz w:val="24"/>
              </w:rPr>
              <w:t>Freddie Mac</w:t>
            </w:r>
          </w:p>
          <w:p>
            <w:pPr>
              <w:keepNext/>
              <w:widowControl/>
              <w:spacing w:before="0" w:after="100" w:line="240" w:lineRule="exact"/>
            </w:pPr>
            <w:r>
              <w:rPr>
                <w:rFonts w:ascii="Arial" w:hAnsi="Arial"/>
                <w:b w:val="0"/>
                <w:color w:val="172F43"/>
                <w:sz w:val="18"/>
              </w:rPr>
              <w:t>AWS Cloud Solutions Architect &amp; Infrastructure Consultant</w:t>
            </w:r>
          </w:p>
        </w:tc>
        <w:tc>
          <w:tcPr>
            <w:tcW w:type="dxa" w:w="25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before="0" w:after="0" w:line="300" w:lineRule="exact"/>
              <w:jc w:val="right"/>
            </w:pPr>
            <w:r>
              <w:rPr>
                <w:rFonts w:ascii="Arial" w:hAnsi="Arial"/>
                <w:b w:val="0"/>
                <w:color w:val="526372"/>
                <w:sz w:val="18"/>
              </w:rPr>
              <w:t>Jan 2019 - Aug 2023</w:t>
            </w:r>
          </w:p>
        </w:tc>
      </w:tr>
    </w:tbl>
    <w:p>
      <w:pPr>
        <w:keepNext/>
        <w:widowControl/>
        <w:spacing w:before="0" w:after="140" w:line="240" w:lineRule="exact"/>
      </w:pPr>
      <w:r>
        <w:rPr>
          <w:rFonts w:ascii="Arial" w:hAnsi="Arial"/>
          <w:b w:val="0"/>
          <w:color w:val="526372"/>
          <w:sz w:val="18"/>
        </w:rPr>
        <w:t>Cloudwick client engagement | 5+ projects across 3 teams; technical leadership for 3-8 engineers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/>
          <w:color w:val="172F43"/>
          <w:sz w:val="20"/>
        </w:rPr>
        <w:t>Technical leadership.</w:t>
      </w:r>
      <w:r>
        <w:rPr>
          <w:rFonts w:ascii="Arial" w:hAnsi="Arial"/>
          <w:b w:val="0"/>
          <w:color w:val="172F43"/>
          <w:sz w:val="20"/>
        </w:rPr>
        <w:t xml:space="preserve"> Led three mission-critical cloud migrations across distributed data and live OLTP/web platforms, coordinating architecture, implementation, data movement, performance testing, and production transition.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/>
          <w:color w:val="172F43"/>
          <w:sz w:val="20"/>
        </w:rPr>
        <w:t>Distributed data migration.</w:t>
      </w:r>
      <w:r>
        <w:rPr>
          <w:rFonts w:ascii="Arial" w:hAnsi="Arial"/>
          <w:b w:val="0"/>
          <w:color w:val="172F43"/>
          <w:sz w:val="20"/>
        </w:rPr>
        <w:t xml:space="preserve"> Designed the transition of a mortgage-document platform from Cloudera Hadoop/Solr to Elasticsearch/OpenSearch and S3; led Spark migration-job development for Solr-to-Elasticsearch and HBase-to-S3 data movement.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/>
          <w:color w:val="172F43"/>
          <w:sz w:val="20"/>
        </w:rPr>
        <w:t>Ingestion architecture.</w:t>
      </w:r>
      <w:r>
        <w:rPr>
          <w:rFonts w:ascii="Arial" w:hAnsi="Arial"/>
          <w:b w:val="0"/>
          <w:color w:val="172F43"/>
          <w:sz w:val="20"/>
        </w:rPr>
        <w:t xml:space="preserve"> Designed Databricks, AWS Glue, Talend, and S3 ingestion/data-warehouse frameworks for upstream and downstream systems; served as senior escalation SME for platform operations and release failures.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/>
          <w:color w:val="172F43"/>
          <w:sz w:val="20"/>
        </w:rPr>
        <w:t>Recovery engineering.</w:t>
      </w:r>
      <w:r>
        <w:rPr>
          <w:rFonts w:ascii="Arial" w:hAnsi="Arial"/>
          <w:b w:val="0"/>
          <w:color w:val="172F43"/>
          <w:sz w:val="20"/>
        </w:rPr>
        <w:t xml:space="preserve"> Delivered a production hybrid-cloud DR environment within six months, with approximately 15-minute RPO and 2-hour RTO using cross-region replication, S3, Airflow, Python, and Elasticsearch.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/>
          <w:color w:val="172F43"/>
          <w:sz w:val="20"/>
        </w:rPr>
        <w:t>Platform automation.</w:t>
      </w:r>
      <w:r>
        <w:rPr>
          <w:rFonts w:ascii="Arial" w:hAnsi="Arial"/>
          <w:b w:val="0"/>
          <w:color w:val="172F43"/>
          <w:sz w:val="20"/>
        </w:rPr>
        <w:t xml:space="preserve"> Developed reusable Terraform, CloudFormation, and Ansible provisioning pipelines; built Python/Airflow automation for snapshots, migration, and instance bootstrapping, and partnered on Dynatrace performance testing at scale.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/>
          <w:color w:val="172F43"/>
          <w:sz w:val="20"/>
        </w:rPr>
        <w:t>Application modernization and security.</w:t>
      </w:r>
      <w:r>
        <w:rPr>
          <w:rFonts w:ascii="Arial" w:hAnsi="Arial"/>
          <w:b w:val="0"/>
          <w:color w:val="172F43"/>
          <w:sz w:val="20"/>
        </w:rPr>
        <w:t xml:space="preserve"> Designed EKS deployment architecture for a legacy Oracle/WebLogic application and federated authentication across four environments; partnered with InfoSec on secure on-premises-to-S3 connectivity.</w:t>
      </w:r>
    </w:p>
    <w:p>
      <w:pPr>
        <w:pStyle w:val="Heading1"/>
        <w:keepNext/>
        <w:widowControl/>
        <w:spacing w:before="200" w:after="160" w:line="240" w:lineRule="exact"/>
      </w:pPr>
      <w:r>
        <w:rPr>
          <w:rFonts w:ascii="Arial" w:hAnsi="Arial"/>
          <w:b/>
          <w:color w:val="007D87"/>
          <w:sz w:val="18"/>
        </w:rPr>
        <w:t>TECHNICAL EXPERTISE</w:t>
      </w:r>
    </w:p>
    <w:p>
      <w:pPr>
        <w:spacing w:line="240" w:lineRule="exact" w:after="80"/>
      </w:pPr>
      <w:r>
        <w:rPr>
          <w:rFonts w:ascii="Arial" w:hAnsi="Arial"/>
          <w:b/>
          <w:color w:val="172F43"/>
          <w:sz w:val="18"/>
        </w:rPr>
        <w:t xml:space="preserve">AI serving and orchestration: </w:t>
      </w:r>
      <w:r>
        <w:rPr>
          <w:rFonts w:ascii="Arial" w:hAnsi="Arial"/>
          <w:b w:val="0"/>
          <w:color w:val="172F43"/>
          <w:sz w:val="18"/>
        </w:rPr>
        <w:t>vLLM, LoRA adapter serving, GPU resource configuration, Helm, Argo CD, Kubernetes/EKS, Kustomize, Docker</w:t>
      </w:r>
    </w:p>
    <w:p>
      <w:pPr>
        <w:spacing w:line="240" w:lineRule="exact" w:after="80"/>
      </w:pPr>
      <w:r>
        <w:rPr>
          <w:rFonts w:ascii="Arial" w:hAnsi="Arial"/>
          <w:b/>
          <w:color w:val="172F43"/>
          <w:sz w:val="18"/>
        </w:rPr>
        <w:t xml:space="preserve">Distributed data and performance: </w:t>
      </w:r>
      <w:r>
        <w:rPr>
          <w:rFonts w:ascii="Arial" w:hAnsi="Arial"/>
          <w:b w:val="0"/>
          <w:color w:val="172F43"/>
          <w:sz w:val="18"/>
        </w:rPr>
        <w:t>Solr, OpenSearch/Elasticsearch, Milvus, Hadoop/HDFS, HBase, Kafka, Spark; JVM/GC, query/index tuning, capacity planning</w:t>
      </w:r>
    </w:p>
    <w:p>
      <w:pPr>
        <w:spacing w:line="240" w:lineRule="exact" w:after="80"/>
      </w:pPr>
      <w:r>
        <w:rPr>
          <w:rFonts w:ascii="Arial" w:hAnsi="Arial"/>
          <w:b/>
          <w:color w:val="172F43"/>
          <w:sz w:val="18"/>
        </w:rPr>
        <w:t xml:space="preserve">Automation and reliability: </w:t>
      </w:r>
      <w:r>
        <w:rPr>
          <w:rFonts w:ascii="Arial" w:hAnsi="Arial"/>
          <w:b w:val="0"/>
          <w:color w:val="172F43"/>
          <w:sz w:val="18"/>
        </w:rPr>
        <w:t>Python, Bash, Terraform, CloudFormation, Ansible; AWS, Prometheus, Grafana, Splunk; incident response, observability, HA/DR</w:t>
      </w:r>
    </w:p>
    <w:p>
      <w:r>
        <w:br w:type="page"/>
      </w:r>
    </w:p>
    <w:p>
      <w:pPr>
        <w:pStyle w:val="Heading1"/>
        <w:keepNext/>
        <w:widowControl/>
        <w:spacing w:before="200" w:after="160" w:line="240" w:lineRule="exact"/>
      </w:pPr>
      <w:r>
        <w:rPr>
          <w:rFonts w:ascii="Arial" w:hAnsi="Arial"/>
          <w:b/>
          <w:color w:val="007D87"/>
          <w:sz w:val="18"/>
        </w:rPr>
        <w:t>DISTRIBUTED SYSTEMS &amp; TELEMETRY | CLOUDWICK CONTINUED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00"/>
        <w:gridCol w:w="6520"/>
        <w:gridCol w:w="2560"/>
      </w:tblGrid>
      <w:tr>
        <w:trPr>
          <w:cantSplit/>
        </w:trPr>
        <w:tc>
          <w:tcPr>
            <w:tcW w:type="dxa" w:w="1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6600" cy="110635"/>
                  <wp:docPr id="6" name="Picture 6" descr="Cyber Data Lake / Amorphic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udwic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1106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before="0" w:after="60" w:line="300" w:lineRule="exact"/>
            </w:pPr>
            <w:r>
              <w:rPr>
                <w:rFonts w:ascii="Arial" w:hAnsi="Arial"/>
                <w:b/>
                <w:color w:val="172F43"/>
                <w:sz w:val="24"/>
              </w:rPr>
              <w:t>Cyber Data Lake / Amorphic</w:t>
            </w:r>
          </w:p>
          <w:p>
            <w:pPr>
              <w:keepNext/>
              <w:widowControl/>
              <w:spacing w:before="0" w:after="100" w:line="240" w:lineRule="exact"/>
            </w:pPr>
            <w:r>
              <w:rPr>
                <w:rFonts w:ascii="Arial" w:hAnsi="Arial"/>
                <w:b w:val="0"/>
                <w:color w:val="172F43"/>
                <w:sz w:val="18"/>
              </w:rPr>
              <w:t>Lead Solutions Engineer</w:t>
            </w:r>
          </w:p>
        </w:tc>
        <w:tc>
          <w:tcPr>
            <w:tcW w:type="dxa" w:w="25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before="0" w:after="0" w:line="300" w:lineRule="exact"/>
              <w:jc w:val="right"/>
            </w:pPr>
            <w:r>
              <w:rPr>
                <w:rFonts w:ascii="Arial" w:hAnsi="Arial"/>
                <w:b w:val="0"/>
                <w:color w:val="526372"/>
                <w:sz w:val="18"/>
              </w:rPr>
              <w:t>Nov 2016 - Dec 2018</w:t>
            </w:r>
          </w:p>
        </w:tc>
      </w:tr>
    </w:tbl>
    <w:p>
      <w:pPr>
        <w:keepNext/>
        <w:widowControl/>
        <w:spacing w:before="0" w:after="140" w:line="240" w:lineRule="exact"/>
      </w:pPr>
      <w:r>
        <w:rPr>
          <w:rFonts w:ascii="Arial" w:hAnsi="Arial"/>
          <w:b w:val="0"/>
          <w:color w:val="526372"/>
          <w:sz w:val="18"/>
        </w:rPr>
        <w:t>Telemetry ingestion, distributed analytics, and performance engineering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 w:val="0"/>
          <w:color w:val="172F43"/>
          <w:sz w:val="20"/>
        </w:rPr>
        <w:t>Designed a three-rack test bed with IDS/IPS and packet brokers for PCAP and NetFlow capture; deployed and performance-tuned 40 Gb/s packet-capture technology across hardware and software boundaries.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 w:val="0"/>
          <w:color w:val="172F43"/>
          <w:sz w:val="20"/>
        </w:rPr>
        <w:t>Implemented telemetry ingestion spanning PCAP, NetFlow, application logs, and firewall events to build a correlated cybersecurity data lake.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 w:val="0"/>
          <w:color w:val="172F43"/>
          <w:sz w:val="20"/>
        </w:rPr>
        <w:t>Integrated Corelight and IXIA telemetry with the cybersecurity data platform; operated Hadoop, Kafka, Spark, Solr, HBase, and Elasticsearch components supporting ingestion and distributed analytics.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 w:val="0"/>
          <w:color w:val="172F43"/>
          <w:sz w:val="20"/>
        </w:rPr>
        <w:t>Built Prometheus monitoring for packet-collector agents on endpoint servers; served as operations and performance SME for Databricks/EMR, ELK, and standalone Hadoop.</w:t>
      </w:r>
    </w:p>
    <w:p>
      <w:pPr>
        <w:pStyle w:val="Heading1"/>
        <w:keepNext/>
        <w:widowControl/>
        <w:spacing w:before="200" w:after="160" w:line="240" w:lineRule="exact"/>
      </w:pPr>
      <w:r>
        <w:rPr>
          <w:rFonts w:ascii="Arial" w:hAnsi="Arial"/>
          <w:b/>
          <w:color w:val="007D87"/>
          <w:sz w:val="18"/>
        </w:rPr>
        <w:t>SELECTED CLIENT ENGAGEMENTS | 2016</w:t>
      </w:r>
    </w:p>
    <w:p>
      <w:pPr>
        <w:keepLines/>
        <w:spacing w:line="260" w:lineRule="exact" w:after="140"/>
      </w:pPr>
      <w:r>
        <w:rPr>
          <w:rFonts w:ascii="Arial" w:hAnsi="Arial"/>
          <w:b/>
          <w:color w:val="172F43"/>
          <w:sz w:val="19"/>
        </w:rPr>
        <w:t>SimplyMeasured | Senior Operations Solutions Engineer | Oct 2016</w:t>
      </w:r>
      <w:r>
        <w:rPr>
          <w:rFonts w:ascii="Arial" w:hAnsi="Arial"/>
          <w:b w:val="0"/>
          <w:color w:val="172F43"/>
          <w:sz w:val="19"/>
        </w:rPr>
        <w:br/>
        <w:t>Benchmarked and tuned an AWS big-data platform and authored scale, reliability, and DR guidance.</w:t>
      </w:r>
    </w:p>
    <w:p>
      <w:pPr>
        <w:keepLines/>
        <w:spacing w:line="260" w:lineRule="exact" w:after="140"/>
      </w:pPr>
      <w:r>
        <w:rPr>
          <w:rFonts w:ascii="Arial" w:hAnsi="Arial"/>
          <w:b/>
          <w:color w:val="172F43"/>
          <w:sz w:val="19"/>
        </w:rPr>
        <w:t>Daimler AG | Senior Operations Solutions Engineer | Jun - Oct 2016</w:t>
      </w:r>
      <w:r>
        <w:rPr>
          <w:rFonts w:ascii="Arial" w:hAnsi="Arial"/>
          <w:b w:val="0"/>
          <w:color w:val="172F43"/>
          <w:sz w:val="19"/>
        </w:rPr>
        <w:br/>
        <w:t>Built and tuned two enterprise Hadoop platforms; automated deployment with Ansible and implemented Kerberos, Ranger, Knox, and SSL security.</w:t>
      </w:r>
    </w:p>
    <w:p>
      <w:pPr>
        <w:keepLines/>
        <w:spacing w:line="260" w:lineRule="exact" w:after="140"/>
      </w:pPr>
      <w:r>
        <w:rPr>
          <w:rFonts w:ascii="Arial" w:hAnsi="Arial"/>
          <w:b/>
          <w:color w:val="172F43"/>
          <w:sz w:val="19"/>
        </w:rPr>
        <w:t>Classmates / The Battle Group | Senior Operations Solutions Engineer | Feb - May 2016</w:t>
      </w:r>
      <w:r>
        <w:rPr>
          <w:rFonts w:ascii="Arial" w:hAnsi="Arial"/>
          <w:b w:val="0"/>
          <w:color w:val="172F43"/>
          <w:sz w:val="19"/>
        </w:rPr>
        <w:br/>
        <w:t>Delivered Hadoop production-readiness reviews, benchmarking, security, automated builds, and operational handbooks; built a custom Spark Livy job-server solution for Classmates.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00"/>
        <w:gridCol w:w="6520"/>
        <w:gridCol w:w="2560"/>
      </w:tblGrid>
      <w:tr>
        <w:trPr>
          <w:cantSplit/>
        </w:trPr>
        <w:tc>
          <w:tcPr>
            <w:tcW w:type="dxa" w:w="1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6600" cy="147320"/>
                  <wp:docPr id="7" name="Picture 7" descr="Amobee / Turn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obe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14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before="0" w:after="60" w:line="300" w:lineRule="exact"/>
            </w:pPr>
            <w:r>
              <w:rPr>
                <w:rFonts w:ascii="Arial" w:hAnsi="Arial"/>
                <w:b/>
                <w:color w:val="172F43"/>
                <w:sz w:val="24"/>
              </w:rPr>
              <w:t>Amobee / Turn</w:t>
            </w:r>
          </w:p>
          <w:p>
            <w:pPr>
              <w:keepNext/>
              <w:widowControl/>
              <w:spacing w:before="0" w:after="100" w:line="240" w:lineRule="exact"/>
            </w:pPr>
            <w:r>
              <w:rPr>
                <w:rFonts w:ascii="Arial" w:hAnsi="Arial"/>
                <w:b w:val="0"/>
                <w:color w:val="172F43"/>
                <w:sz w:val="18"/>
              </w:rPr>
              <w:t>Operations Solutions Engineer - Hadoop / HBase</w:t>
            </w:r>
          </w:p>
        </w:tc>
        <w:tc>
          <w:tcPr>
            <w:tcW w:type="dxa" w:w="25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before="0" w:after="0" w:line="300" w:lineRule="exact"/>
              <w:jc w:val="right"/>
            </w:pPr>
            <w:r>
              <w:rPr>
                <w:rFonts w:ascii="Arial" w:hAnsi="Arial"/>
                <w:b w:val="0"/>
                <w:color w:val="526372"/>
                <w:sz w:val="18"/>
              </w:rPr>
              <w:t>Apr 2015 - Jan 2016</w:t>
            </w:r>
          </w:p>
        </w:tc>
      </w:tr>
    </w:tbl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 w:val="0"/>
          <w:color w:val="172F43"/>
          <w:sz w:val="20"/>
        </w:rPr>
        <w:t>Operated and expanded Hadoop environments with up to approximately 400 nodes per production cluster and 30 PB total capacity, including 24/7 support, upgrades, and disaster recovery.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 w:val="0"/>
          <w:color w:val="172F43"/>
          <w:sz w:val="20"/>
        </w:rPr>
        <w:t>Executed a major refresh/expansion involving approximately 400 node additions/removals; implemented NameNode and JobTracker HA, Oozie migration/DR, and disk-failure checks.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 w:val="0"/>
          <w:color w:val="172F43"/>
          <w:sz w:val="20"/>
        </w:rPr>
        <w:t>Built Python tooling on the Cloudera Manager API for NOC service management; implemented JMX telemetry with OpenTSDB/Grafana and automated deployment and performance-management tooling with Puppet.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00"/>
        <w:gridCol w:w="6520"/>
        <w:gridCol w:w="2560"/>
      </w:tblGrid>
      <w:tr>
        <w:trPr>
          <w:cantSplit/>
        </w:trPr>
        <w:tc>
          <w:tcPr>
            <w:tcW w:type="dxa" w:w="1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6599" cy="160787"/>
                  <wp:docPr id="8" name="Picture 8" descr="Limelight Networks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meligh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599" cy="1607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before="0" w:after="60" w:line="300" w:lineRule="exact"/>
            </w:pPr>
            <w:r>
              <w:rPr>
                <w:rFonts w:ascii="Arial" w:hAnsi="Arial"/>
                <w:b/>
                <w:color w:val="172F43"/>
                <w:sz w:val="24"/>
              </w:rPr>
              <w:t>Limelight Networks</w:t>
            </w:r>
          </w:p>
          <w:p>
            <w:pPr>
              <w:keepNext/>
              <w:widowControl/>
              <w:spacing w:before="0" w:after="100" w:line="240" w:lineRule="exact"/>
            </w:pPr>
            <w:r>
              <w:rPr>
                <w:rFonts w:ascii="Arial" w:hAnsi="Arial"/>
                <w:b w:val="0"/>
                <w:color w:val="172F43"/>
                <w:sz w:val="18"/>
              </w:rPr>
              <w:t>Operations Engineer - Cloud / Big Data</w:t>
            </w:r>
          </w:p>
        </w:tc>
        <w:tc>
          <w:tcPr>
            <w:tcW w:type="dxa" w:w="256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widowControl/>
              <w:spacing w:before="0" w:after="0" w:line="300" w:lineRule="exact"/>
              <w:jc w:val="right"/>
            </w:pPr>
            <w:r>
              <w:rPr>
                <w:rFonts w:ascii="Arial" w:hAnsi="Arial"/>
                <w:b w:val="0"/>
                <w:color w:val="526372"/>
                <w:sz w:val="18"/>
              </w:rPr>
              <w:t>Apr 2014 - Apr 2015</w:t>
            </w:r>
          </w:p>
        </w:tc>
      </w:tr>
    </w:tbl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 w:val="0"/>
          <w:color w:val="172F43"/>
          <w:sz w:val="20"/>
        </w:rPr>
        <w:t>Designed a Hadoop billing platform with HA/DR and maintained an approximately 80-node video analytics cluster through upgrades and production troubleshooting.</w:t>
      </w:r>
    </w:p>
    <w:p>
      <w:pPr>
        <w:keepLines/>
        <w:ind w:left="180" w:hanging="180"/>
      </w:pPr>
      <w:r>
        <w:rPr>
          <w:rFonts w:ascii="Arial" w:hAnsi="Arial"/>
          <w:b w:val="0"/>
          <w:color w:val="172F43"/>
          <w:sz w:val="20"/>
        </w:rPr>
        <w:t xml:space="preserve">- </w:t>
      </w:r>
      <w:r>
        <w:rPr>
          <w:rFonts w:ascii="Arial" w:hAnsi="Arial"/>
          <w:b w:val="0"/>
          <w:color w:val="172F43"/>
          <w:sz w:val="20"/>
        </w:rPr>
        <w:t>Tuned Hive and MapReduce configurations against performance benchmarks; built Python/JMX monitoring, metadata backups, and Oozie data-processing workflows.</w:t>
      </w:r>
    </w:p>
    <w:p>
      <w:pPr>
        <w:pStyle w:val="Heading1"/>
        <w:keepNext/>
        <w:widowControl/>
        <w:spacing w:before="200" w:after="160" w:line="240" w:lineRule="exact"/>
      </w:pPr>
      <w:r>
        <w:rPr>
          <w:rFonts w:ascii="Arial" w:hAnsi="Arial"/>
          <w:b/>
          <w:color w:val="007D87"/>
          <w:sz w:val="18"/>
        </w:rPr>
        <w:t>EDUCATION</w:t>
      </w:r>
    </w:p>
    <w:p>
      <w:pPr>
        <w:keepNext w:val="0"/>
        <w:widowControl/>
        <w:spacing w:before="0" w:after="80" w:line="250" w:lineRule="exact"/>
      </w:pPr>
      <w:r>
        <w:rPr>
          <w:rFonts w:ascii="Arial" w:hAnsi="Arial"/>
          <w:b w:val="0"/>
          <w:color w:val="172F43"/>
          <w:sz w:val="18"/>
        </w:rPr>
        <w:t>Bachelor of Technology, 2011.</w:t>
      </w:r>
    </w:p>
    <w:p>
      <w:pPr>
        <w:keepNext w:val="0"/>
        <w:widowControl/>
        <w:spacing w:before="0" w:after="80" w:line="250" w:lineRule="exact"/>
      </w:pPr>
      <w:r>
        <w:rPr>
          <w:rFonts w:ascii="Arial" w:hAnsi="Arial"/>
          <w:b w:val="0"/>
          <w:color w:val="172F43"/>
          <w:sz w:val="18"/>
        </w:rPr>
        <w:t>Graduate coursework in Computer Science: Texas A&amp;M University, 15 credits (2014); Montana State University, 15 credits (2013).</w:t>
      </w:r>
    </w:p>
    <w:sectPr w:rsidR="00FC693F" w:rsidRPr="0006063C" w:rsidSect="00034616">
      <w:headerReference w:type="default" r:id="rId18"/>
      <w:footerReference w:type="default" r:id="rId19"/>
      <w:footerReference w:type="first" r:id="rId20"/>
      <w:pgSz w:w="12240" w:h="15840"/>
      <w:pgMar w:top="880" w:right="880" w:bottom="940" w:left="880" w:header="460" w:footer="440" w:gutter="0"/>
      <w:cols w:space="720"/>
      <w:titlePg/>
      <w:docGrid w:linePitch="360"/>
      <w:pgBorders w:offsetFrom="page">
        <w:top w:val="single" w:sz="48" w:color="007D87" w:space="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widowControl/>
      <w:tabs>
        <w:tab w:pos="10480" w:val="right"/>
      </w:tabs>
      <w:spacing w:before="0" w:after="0" w:line="200" w:lineRule="exact"/>
      <w:pBdr>
        <w:top w:val="single" w:sz="4" w:color="D4DFE4" w:space="8"/>
      </w:pBdr>
    </w:pPr>
    <w:r>
      <w:rPr>
        <w:rFonts w:ascii="Arial" w:hAnsi="Arial"/>
        <w:b w:val="0"/>
        <w:color w:val="526372"/>
        <w:sz w:val="16"/>
      </w:rPr>
      <w:t>Venkata Ganji | AI Infrastructure &amp; Production Engineering</w:t>
    </w:r>
    <w:r>
      <w:rPr>
        <w:rFonts w:ascii="Arial" w:hAnsi="Arial"/>
        <w:b w:val="0"/>
        <w:color w:val="526372"/>
        <w:sz w:val="16"/>
      </w:rPr>
      <w:tab/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widowControl/>
      <w:tabs>
        <w:tab w:pos="10480" w:val="right"/>
      </w:tabs>
      <w:spacing w:before="0" w:after="0" w:line="200" w:lineRule="exact"/>
      <w:pBdr>
        <w:top w:val="single" w:sz="4" w:color="D4DFE4" w:space="8"/>
      </w:pBdr>
    </w:pPr>
    <w:r>
      <w:rPr>
        <w:rFonts w:ascii="Arial" w:hAnsi="Arial"/>
        <w:b w:val="0"/>
        <w:color w:val="526372"/>
        <w:sz w:val="16"/>
      </w:rPr>
      <w:t>Venkata Ganji | AI Infrastructure &amp; Production Engineering</w:t>
    </w:r>
    <w:r>
      <w:rPr>
        <w:rFonts w:ascii="Arial" w:hAnsi="Arial"/>
        <w:b w:val="0"/>
        <w:color w:val="526372"/>
        <w:sz w:val="16"/>
      </w:rP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widowControl/>
      <w:tabs>
        <w:tab w:pos="10480" w:val="right"/>
      </w:tabs>
      <w:spacing w:before="0" w:after="0" w:line="240" w:lineRule="exact"/>
    </w:pPr>
    <w:r>
      <w:rPr>
        <w:rFonts w:ascii="Arial" w:hAnsi="Arial"/>
        <w:b w:val="0"/>
        <w:color w:val="172F43"/>
        <w:sz w:val="18"/>
      </w:rPr>
      <w:t>VENKATA GANJI</w:t>
    </w:r>
    <w:r>
      <w:rPr>
        <w:rFonts w:ascii="Arial" w:hAnsi="Arial"/>
        <w:b w:val="0"/>
        <w:color w:val="172F43"/>
        <w:sz w:val="18"/>
      </w:rPr>
      <w:tab/>
      <w:t>PRODUCTION ENGINEERING / DISTRIBUTED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exact" w:after="120"/>
    </w:pPr>
    <w:rPr>
      <w:rFonts w:ascii="Arial" w:hAnsi="Arial"/>
      <w:color w:val="172F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F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F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2F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inkedin.com/in/venkata-sai-ganji-3a30a2a4" TargetMode="External"/><Relationship Id="rId11" Type="http://schemas.openxmlformats.org/officeDocument/2006/relationships/hyperlink" Target="https://offroadguy.github.io/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Venkata Ganji AI Platform SRE and Distributed Systems SME</dc:title>
  <dc:subject>Editable resume corresponding to PDF v2.2.0</dc:subject>
  <dc:creator>Venkata Ganji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