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Roles, Responsibilities and Authorities</w:t>
      </w:r>
    </w:p>
    <w:p>
      <w:pPr>
        <w:keepNext w:val="0"/>
        <w:spacing w:before="0" w:after="200" w:line="240" w:lineRule="auto"/>
      </w:pPr>
      <w:r>
        <w:rPr>
          <w:rFonts w:ascii="Arial" w:hAnsi="Arial" w:cs="Arial" w:eastAsia="Arial"/>
          <w:b w:val="0"/>
          <w:i w:val="0"/>
          <w:color w:val="5B6678"/>
          <w:sz w:val="21"/>
        </w:rPr>
        <w:t>Who is responsible for what in the information security management system, and what each of them may decide.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ISO/IEC 27001:2022, clause 5.3, requires top management to make sure that the responsibilities and authorities for roles relevant to information security are assigned and communicated. This document does that for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It makes clear who does what, who can decide what, and who reports to whom, so that nothing important is left with nobody.</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This document applies to every role that has a part to play in the ISMS described in the Scope of the ISMS (ISMS-01). Job titles may differ from those used here. What matters is who carries out the responsibility.</w:t>
      </w:r>
    </w:p>
    <w:p>
      <w:pPr>
        <w:keepNext/>
        <w:spacing w:before="280" w:after="120" w:line="264" w:lineRule="auto"/>
      </w:pPr>
      <w:r>
        <w:rPr>
          <w:rFonts w:ascii="Arial" w:hAnsi="Arial" w:cs="Arial" w:eastAsia="Arial"/>
          <w:b/>
          <w:i w:val="0"/>
          <w:color w:val="1B253B"/>
          <w:sz w:val="28"/>
        </w:rPr>
        <w:t>3. Roles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3744"/>
            <w:shd w:val="clear" w:color="auto" w:fill="DCE6F5"/>
          </w:tcPr>
          <w:p>
            <w:pPr>
              <w:keepNext w:val="0"/>
              <w:spacing w:before="40" w:after="40" w:line="240" w:lineRule="auto"/>
            </w:pPr>
            <w:r>
              <w:rPr>
                <w:rFonts w:ascii="Arial" w:hAnsi="Arial" w:cs="Arial" w:eastAsia="Arial"/>
                <w:b/>
                <w:i w:val="0"/>
                <w:color w:val="1B253B"/>
                <w:sz w:val="18"/>
              </w:rPr>
              <w:t>Held by</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Deputy</w:t>
            </w:r>
          </w:p>
        </w:tc>
      </w:tr>
      <w:tr>
        <w:trPr>
          <w:cantSplit w:val="true"/>
        </w:trPr>
        <w:tc>
          <w:tcPr>
            <w:tcW w:type="dxa" w:w="3456"/>
          </w:tcPr>
          <w:p>
            <w:pPr>
              <w:keepNext w:val="0"/>
              <w:spacing w:before="40" w:after="40" w:line="240" w:lineRule="auto"/>
            </w:pPr>
            <w:r>
              <w:rPr>
                <w:rFonts w:ascii="Arial" w:hAnsi="Arial" w:cs="Arial" w:eastAsia="Arial"/>
                <w:b w:val="0"/>
                <w:i w:val="0"/>
                <w:sz w:val="18"/>
              </w:rPr>
              <w:t>Top management</w:t>
            </w:r>
          </w:p>
        </w:tc>
        <w:tc>
          <w:tcPr>
            <w:tcW w:type="dxa" w:w="3744"/>
          </w:tcPr>
          <w:p>
            <w:pPr>
              <w:keepNext w:val="0"/>
              <w:spacing w:before="40" w:after="40" w:line="240" w:lineRule="auto"/>
            </w:pPr>
            <w:sdt>
              <w:sdtPr>
                <w:alias w:val="Top management"/>
                <w:tag w:val="top_mgmt"/>
              </w:sdtPr>
              <w:sdtContent>
                <w:r>
                  <w:rPr>
                    <w:rFonts w:ascii="Arial" w:hAnsi="Arial" w:cs="Arial" w:eastAsia="Arial"/>
                    <w:b w:val="0"/>
                    <w:i w:val="0"/>
                    <w:sz w:val="18"/>
                    <w:highlight w:val="yellow"/>
                  </w:rPr>
                  <w:t>&lt;Names and titles&gt;</w:t>
                </w:r>
              </w:sdtContent>
            </w:sdt>
          </w:p>
        </w:tc>
        <w:tc>
          <w:tcPr>
            <w:tcW w:type="dxa" w:w="2016"/>
          </w:tcPr>
          <w:p>
            <w:pPr>
              <w:keepNext w:val="0"/>
              <w:spacing w:before="40" w:after="40" w:line="240" w:lineRule="auto"/>
            </w:pPr>
            <w:sdt>
              <w:sdtPr>
                <w:alias w:val="Name"/>
                <w:tag w:val="03.t3.r0.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ISMS Manager</w:t>
            </w:r>
          </w:p>
        </w:tc>
        <w:tc>
          <w:tcPr>
            <w:tcW w:type="dxa" w:w="3744"/>
          </w:tcPr>
          <w:p>
            <w:pPr>
              <w:keepNext w:val="0"/>
              <w:spacing w:before="40" w:after="40" w:line="240" w:lineRule="auto"/>
            </w:pPr>
            <w:sdt>
              <w:sdtPr>
                <w:alias w:val="ISMS Manager: name"/>
                <w:tag w:val="isms_manager"/>
              </w:sdtPr>
              <w:sdtContent>
                <w:r>
                  <w:rPr>
                    <w:rFonts w:ascii="Arial" w:hAnsi="Arial" w:cs="Arial" w:eastAsia="Arial"/>
                    <w:b w:val="0"/>
                    <w:i w:val="0"/>
                    <w:sz w:val="18"/>
                    <w:highlight w:val="yellow"/>
                  </w:rPr>
                  <w:t>&lt;Name and title&gt;</w:t>
                </w:r>
              </w:sdtContent>
            </w:sdt>
          </w:p>
        </w:tc>
        <w:tc>
          <w:tcPr>
            <w:tcW w:type="dxa" w:w="2016"/>
          </w:tcPr>
          <w:p>
            <w:pPr>
              <w:keepNext w:val="0"/>
              <w:spacing w:before="40" w:after="40" w:line="240" w:lineRule="auto"/>
            </w:pPr>
            <w:sdt>
              <w:sdtPr>
                <w:alias w:val="Name"/>
                <w:tag w:val="03.t3.r1.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Information security forum or committee</w:t>
            </w:r>
          </w:p>
        </w:tc>
        <w:tc>
          <w:tcPr>
            <w:tcW w:type="dxa" w:w="3744"/>
          </w:tcPr>
          <w:p>
            <w:pPr>
              <w:keepNext w:val="0"/>
              <w:spacing w:before="40" w:after="40" w:line="240" w:lineRule="auto"/>
            </w:pPr>
            <w:sdt>
              <w:sdtPr>
                <w:alias w:val="Members"/>
                <w:tag w:val="03.t3.r2.c1"/>
              </w:sdtPr>
              <w:sdtContent>
                <w:r>
                  <w:rPr>
                    <w:rFonts w:ascii="Arial" w:hAnsi="Arial" w:cs="Arial" w:eastAsia="Arial"/>
                    <w:b w:val="0"/>
                    <w:i w:val="0"/>
                    <w:sz w:val="18"/>
                    <w:highlight w:val="yellow"/>
                  </w:rPr>
                  <w:t>&lt;Members&gt;</w:t>
                </w:r>
              </w:sdtContent>
            </w:sdt>
          </w:p>
        </w:tc>
        <w:tc>
          <w:tcPr>
            <w:tcW w:type="dxa" w:w="2016"/>
          </w:tcPr>
          <w:p>
            <w:pPr>
              <w:keepNext w:val="0"/>
              <w:spacing w:before="40" w:after="40" w:line="240" w:lineRule="auto"/>
            </w:pPr>
            <w:sdt>
              <w:sdtPr>
                <w:alias w:val="Chair's deputy"/>
                <w:tag w:val="03.t3.r2.c2"/>
              </w:sdtPr>
              <w:sdtContent>
                <w:r>
                  <w:rPr>
                    <w:rFonts w:ascii="Arial" w:hAnsi="Arial" w:cs="Arial" w:eastAsia="Arial"/>
                    <w:b w:val="0"/>
                    <w:i w:val="0"/>
                    <w:sz w:val="18"/>
                    <w:highlight w:val="yellow"/>
                  </w:rPr>
                  <w:t>&lt;Chair's deputy&gt;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Risk owners</w:t>
            </w:r>
          </w:p>
        </w:tc>
        <w:tc>
          <w:tcPr>
            <w:tcW w:type="dxa" w:w="3744"/>
          </w:tcPr>
          <w:p>
            <w:pPr>
              <w:keepNext w:val="0"/>
              <w:spacing w:before="40" w:after="40" w:line="240" w:lineRule="auto"/>
            </w:pPr>
            <w:sdt>
              <w:sdtPr>
                <w:alias w:val="Named per risk in the risk register"/>
                <w:tag w:val="03.t3.r3.c1"/>
              </w:sdtPr>
              <w:sdtContent>
                <w:r>
                  <w:rPr>
                    <w:rFonts w:ascii="Arial" w:hAnsi="Arial" w:cs="Arial" w:eastAsia="Arial"/>
                    <w:b w:val="0"/>
                    <w:i w:val="0"/>
                    <w:sz w:val="18"/>
                    <w:highlight w:val="yellow"/>
                  </w:rPr>
                  <w:t>&lt;Named per risk in the risk register&gt;</w:t>
                </w:r>
              </w:sdtContent>
            </w:sdt>
          </w:p>
        </w:tc>
        <w:tc>
          <w:tcPr>
            <w:tcW w:type="dxa" w:w="2016"/>
          </w:tcPr>
          <w:p>
            <w:pPr>
              <w:keepNext w:val="0"/>
              <w:spacing w:before="40" w:after="40" w:line="240" w:lineRule="auto"/>
            </w:pPr>
            <w:sdt>
              <w:sdtPr>
                <w:alias w:val="Name"/>
                <w:tag w:val="03.t3.r3.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Asset owners</w:t>
            </w:r>
          </w:p>
        </w:tc>
        <w:tc>
          <w:tcPr>
            <w:tcW w:type="dxa" w:w="3744"/>
          </w:tcPr>
          <w:p>
            <w:pPr>
              <w:keepNext w:val="0"/>
              <w:spacing w:before="40" w:after="40" w:line="240" w:lineRule="auto"/>
            </w:pPr>
            <w:sdt>
              <w:sdtPr>
                <w:alias w:val="Named per asset in the asset register"/>
                <w:tag w:val="03.t3.r4.c1"/>
              </w:sdtPr>
              <w:sdtContent>
                <w:r>
                  <w:rPr>
                    <w:rFonts w:ascii="Arial" w:hAnsi="Arial" w:cs="Arial" w:eastAsia="Arial"/>
                    <w:b w:val="0"/>
                    <w:i w:val="0"/>
                    <w:sz w:val="18"/>
                    <w:highlight w:val="yellow"/>
                  </w:rPr>
                  <w:t>&lt;Named per asset in the asset register&gt;</w:t>
                </w:r>
              </w:sdtContent>
            </w:sdt>
          </w:p>
        </w:tc>
        <w:tc>
          <w:tcPr>
            <w:tcW w:type="dxa" w:w="2016"/>
          </w:tcPr>
          <w:p>
            <w:pPr>
              <w:keepNext w:val="0"/>
              <w:spacing w:before="40" w:after="40" w:line="240" w:lineRule="auto"/>
            </w:pPr>
            <w:sdt>
              <w:sdtPr>
                <w:alias w:val="Name"/>
                <w:tag w:val="03.t3.r4.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IT and operations lead</w:t>
            </w:r>
          </w:p>
        </w:tc>
        <w:tc>
          <w:tcPr>
            <w:tcW w:type="dxa" w:w="3744"/>
          </w:tcPr>
          <w:p>
            <w:pPr>
              <w:keepNext w:val="0"/>
              <w:spacing w:before="40" w:after="40" w:line="240" w:lineRule="auto"/>
            </w:pPr>
            <w:sdt>
              <w:sdtPr>
                <w:alias w:val="Name and title"/>
                <w:tag w:val="03.t3.r5.c1"/>
              </w:sdtPr>
              <w:sdtContent>
                <w:r>
                  <w:rPr>
                    <w:rFonts w:ascii="Arial" w:hAnsi="Arial" w:cs="Arial" w:eastAsia="Arial"/>
                    <w:b w:val="0"/>
                    <w:i w:val="0"/>
                    <w:sz w:val="18"/>
                    <w:highlight w:val="yellow"/>
                  </w:rPr>
                  <w:t>&lt;Name and title&gt;</w:t>
                </w:r>
              </w:sdtContent>
            </w:sdt>
          </w:p>
        </w:tc>
        <w:tc>
          <w:tcPr>
            <w:tcW w:type="dxa" w:w="2016"/>
          </w:tcPr>
          <w:p>
            <w:pPr>
              <w:keepNext w:val="0"/>
              <w:spacing w:before="40" w:after="40" w:line="240" w:lineRule="auto"/>
            </w:pPr>
            <w:sdt>
              <w:sdtPr>
                <w:alias w:val="Name"/>
                <w:tag w:val="03.t3.r5.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HR lead</w:t>
            </w:r>
          </w:p>
        </w:tc>
        <w:tc>
          <w:tcPr>
            <w:tcW w:type="dxa" w:w="3744"/>
          </w:tcPr>
          <w:p>
            <w:pPr>
              <w:keepNext w:val="0"/>
              <w:spacing w:before="40" w:after="40" w:line="240" w:lineRule="auto"/>
            </w:pPr>
            <w:sdt>
              <w:sdtPr>
                <w:alias w:val="Name and title"/>
                <w:tag w:val="03.t3.r6.c1"/>
              </w:sdtPr>
              <w:sdtContent>
                <w:r>
                  <w:rPr>
                    <w:rFonts w:ascii="Arial" w:hAnsi="Arial" w:cs="Arial" w:eastAsia="Arial"/>
                    <w:b w:val="0"/>
                    <w:i w:val="0"/>
                    <w:sz w:val="18"/>
                    <w:highlight w:val="yellow"/>
                  </w:rPr>
                  <w:t>&lt;Name and title&gt;</w:t>
                </w:r>
              </w:sdtContent>
            </w:sdt>
          </w:p>
        </w:tc>
        <w:tc>
          <w:tcPr>
            <w:tcW w:type="dxa" w:w="2016"/>
          </w:tcPr>
          <w:p>
            <w:pPr>
              <w:keepNext w:val="0"/>
              <w:spacing w:before="40" w:after="40" w:line="240" w:lineRule="auto"/>
            </w:pPr>
            <w:sdt>
              <w:sdtPr>
                <w:alias w:val="Name"/>
                <w:tag w:val="03.t3.r6.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Legal, privacy or data protection lead</w:t>
            </w:r>
          </w:p>
        </w:tc>
        <w:tc>
          <w:tcPr>
            <w:tcW w:type="dxa" w:w="3744"/>
          </w:tcPr>
          <w:p>
            <w:pPr>
              <w:keepNext w:val="0"/>
              <w:spacing w:before="40" w:after="40" w:line="240" w:lineRule="auto"/>
            </w:pPr>
            <w:sdt>
              <w:sdtPr>
                <w:alias w:val="Name and title"/>
                <w:tag w:val="03.t3.r7.c1"/>
              </w:sdtPr>
              <w:sdtContent>
                <w:r>
                  <w:rPr>
                    <w:rFonts w:ascii="Arial" w:hAnsi="Arial" w:cs="Arial" w:eastAsia="Arial"/>
                    <w:b w:val="0"/>
                    <w:i w:val="0"/>
                    <w:sz w:val="18"/>
                    <w:highlight w:val="yellow"/>
                  </w:rPr>
                  <w:t>&lt;Name and title&gt;</w:t>
                </w:r>
              </w:sdtContent>
            </w:sdt>
          </w:p>
        </w:tc>
        <w:tc>
          <w:tcPr>
            <w:tcW w:type="dxa" w:w="2016"/>
          </w:tcPr>
          <w:p>
            <w:pPr>
              <w:keepNext w:val="0"/>
              <w:spacing w:before="40" w:after="40" w:line="240" w:lineRule="auto"/>
            </w:pPr>
            <w:sdt>
              <w:sdtPr>
                <w:alias w:val="Name"/>
                <w:tag w:val="03.t3.r7.c2"/>
              </w:sdtPr>
              <w:sdtContent>
                <w:r>
                  <w:rPr>
                    <w:rFonts w:ascii="Arial" w:hAnsi="Arial" w:cs="Arial" w:eastAsia="Arial"/>
                    <w:b w:val="0"/>
                    <w:i w:val="0"/>
                    <w:sz w:val="18"/>
                    <w:highlight w:val="yellow"/>
                  </w:rPr>
                  <w:t>&lt;Name&gt;</w:t>
                </w:r>
              </w:sdtContent>
            </w:sdt>
          </w:p>
        </w:tc>
      </w:tr>
      <w:tr>
        <w:trPr>
          <w:cantSplit w:val="true"/>
        </w:trPr>
        <w:tc>
          <w:tcPr>
            <w:tcW w:type="dxa" w:w="3456"/>
          </w:tcPr>
          <w:p>
            <w:pPr>
              <w:keepNext w:val="0"/>
              <w:spacing w:before="40" w:after="40" w:line="240" w:lineRule="auto"/>
            </w:pPr>
            <w:r>
              <w:rPr>
                <w:rFonts w:ascii="Arial" w:hAnsi="Arial" w:cs="Arial" w:eastAsia="Arial"/>
                <w:b w:val="0"/>
                <w:i w:val="0"/>
                <w:sz w:val="18"/>
              </w:rPr>
              <w:t>Internal audit lead</w:t>
            </w:r>
          </w:p>
        </w:tc>
        <w:tc>
          <w:tcPr>
            <w:tcW w:type="dxa" w:w="3744"/>
          </w:tcPr>
          <w:p>
            <w:pPr>
              <w:keepNext w:val="0"/>
              <w:spacing w:before="40" w:after="40" w:line="240" w:lineRule="auto"/>
            </w:pPr>
            <w:sdt>
              <w:sdtPr>
                <w:alias w:val="Name and title, or the external provider"/>
                <w:tag w:val="03.t3.r8.c1"/>
              </w:sdtPr>
              <w:sdtContent>
                <w:r>
                  <w:rPr>
                    <w:rFonts w:ascii="Arial" w:hAnsi="Arial" w:cs="Arial" w:eastAsia="Arial"/>
                    <w:b w:val="0"/>
                    <w:i w:val="0"/>
                    <w:sz w:val="18"/>
                    <w:highlight w:val="yellow"/>
                  </w:rPr>
                  <w:t>&lt;Name and title, or the external provider&gt;</w:t>
                </w:r>
              </w:sdtContent>
            </w:sdt>
          </w:p>
        </w:tc>
        <w:tc>
          <w:tcPr>
            <w:tcW w:type="dxa" w:w="2016"/>
          </w:tcPr>
          <w:p>
            <w:pPr>
              <w:keepNext w:val="0"/>
              <w:spacing w:before="40" w:after="40" w:line="240" w:lineRule="auto"/>
            </w:pPr>
            <w:sdt>
              <w:sdtPr>
                <w:alias w:val="Name"/>
                <w:tag w:val="03.t3.r8.c2"/>
              </w:sdtPr>
              <w:sdtContent>
                <w:r>
                  <w:rPr>
                    <w:rFonts w:ascii="Arial" w:hAnsi="Arial" w:cs="Arial" w:eastAsia="Arial"/>
                    <w:b w:val="0"/>
                    <w:i w:val="0"/>
                    <w:sz w:val="18"/>
                    <w:highlight w:val="yellow"/>
                  </w:rPr>
                  <w:t>&lt;Name&gt;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Responsibilities and authorities</w:t>
      </w:r>
    </w:p>
    <w:p>
      <w:pPr>
        <w:keepNext/>
        <w:spacing w:before="160" w:after="80" w:line="264" w:lineRule="auto"/>
      </w:pPr>
      <w:r>
        <w:rPr>
          <w:rFonts w:ascii="Arial" w:hAnsi="Arial" w:cs="Arial" w:eastAsia="Arial"/>
          <w:b/>
          <w:i w:val="0"/>
          <w:color w:val="1B253B"/>
          <w:sz w:val="23"/>
        </w:rPr>
        <w:t>Top management</w:t>
      </w:r>
    </w:p>
    <w:p>
      <w:pPr>
        <w:pStyle w:val="ListBullet"/>
        <w:keepNext w:val="0"/>
        <w:spacing w:before="0" w:after="60" w:line="276" w:lineRule="auto"/>
        <w:ind w:left="432" w:hanging="288"/>
      </w:pPr>
      <w:r>
        <w:rPr>
          <w:rFonts w:ascii="Arial" w:hAnsi="Arial" w:cs="Arial" w:eastAsia="Arial"/>
          <w:b w:val="0"/>
          <w:i w:val="0"/>
          <w:sz w:val="21"/>
        </w:rPr>
        <w:t>Establishes the ISMS policy and the information security objectives, and makes sure they fit the direction of the business.</w:t>
      </w:r>
    </w:p>
    <w:p>
      <w:pPr>
        <w:pStyle w:val="ListBullet"/>
        <w:keepNext w:val="0"/>
        <w:spacing w:before="0" w:after="60" w:line="276" w:lineRule="auto"/>
        <w:ind w:left="432" w:hanging="288"/>
      </w:pPr>
      <w:r>
        <w:rPr>
          <w:rFonts w:ascii="Arial" w:hAnsi="Arial" w:cs="Arial" w:eastAsia="Arial"/>
          <w:b w:val="0"/>
          <w:i w:val="0"/>
          <w:sz w:val="21"/>
        </w:rPr>
        <w:t>Makes sure the ISMS requirements are part of the organisation's processes.</w:t>
      </w:r>
    </w:p>
    <w:p>
      <w:pPr>
        <w:pStyle w:val="ListBullet"/>
        <w:keepNext w:val="0"/>
        <w:spacing w:before="0" w:after="60" w:line="276" w:lineRule="auto"/>
        <w:ind w:left="432" w:hanging="288"/>
      </w:pPr>
      <w:r>
        <w:rPr>
          <w:rFonts w:ascii="Arial" w:hAnsi="Arial" w:cs="Arial" w:eastAsia="Arial"/>
          <w:b w:val="0"/>
          <w:i w:val="0"/>
          <w:sz w:val="21"/>
        </w:rPr>
        <w:t>Provides the resources the ISMS needs, and decides how much risk the organisation will accept.</w:t>
      </w:r>
    </w:p>
    <w:p>
      <w:pPr>
        <w:pStyle w:val="ListBullet"/>
        <w:keepNext w:val="0"/>
        <w:spacing w:before="0" w:after="60" w:line="276" w:lineRule="auto"/>
        <w:ind w:left="432" w:hanging="288"/>
      </w:pPr>
      <w:r>
        <w:rPr>
          <w:rFonts w:ascii="Arial" w:hAnsi="Arial" w:cs="Arial" w:eastAsia="Arial"/>
          <w:b w:val="0"/>
          <w:i w:val="0"/>
          <w:sz w:val="21"/>
        </w:rPr>
        <w:t>Communicates why effective information security matters, and takes part in the management review.</w:t>
      </w:r>
    </w:p>
    <w:p>
      <w:pPr>
        <w:pStyle w:val="ListBullet"/>
        <w:keepNext w:val="0"/>
        <w:spacing w:before="0" w:after="60" w:line="276" w:lineRule="auto"/>
        <w:ind w:left="432" w:hanging="288"/>
      </w:pPr>
      <w:r>
        <w:rPr>
          <w:rFonts w:ascii="Arial" w:hAnsi="Arial" w:cs="Arial" w:eastAsia="Arial"/>
          <w:b w:val="0"/>
          <w:i w:val="0"/>
          <w:sz w:val="21"/>
        </w:rPr>
        <w:t>Directs and supports people so they can contribute, and promotes continual improvement.</w:t>
      </w:r>
    </w:p>
    <w:p>
      <w:pPr>
        <w:pStyle w:val="ListBullet"/>
        <w:keepNext w:val="0"/>
        <w:spacing w:before="0" w:after="60" w:line="276" w:lineRule="auto"/>
        <w:ind w:left="432" w:hanging="288"/>
      </w:pPr>
      <w:r>
        <w:rPr>
          <w:rFonts w:ascii="Arial" w:hAnsi="Arial" w:cs="Arial" w:eastAsia="Arial"/>
          <w:b/>
          <w:i w:val="0"/>
          <w:sz w:val="21"/>
        </w:rPr>
        <w:t>Authority:</w:t>
      </w:r>
      <w:r>
        <w:rPr>
          <w:rFonts w:ascii="Arial" w:hAnsi="Arial" w:cs="Arial" w:eastAsia="Arial"/>
          <w:b w:val="0"/>
          <w:i w:val="0"/>
          <w:sz w:val="21"/>
        </w:rPr>
        <w:t xml:space="preserve"> approves the ISMS policy, the risk acceptance criteria, the Statement of Applicability and the budget for security.</w:t>
      </w:r>
    </w:p>
    <w:p>
      <w:pPr>
        <w:keepNext w:val="0"/>
        <w:spacing w:before="0" w:after="40" w:line="240" w:lineRule="auto"/>
      </w:pPr>
    </w:p>
    <w:p>
      <w:pPr>
        <w:keepNext/>
        <w:spacing w:before="160" w:after="80" w:line="264" w:lineRule="auto"/>
      </w:pPr>
      <w:r>
        <w:rPr>
          <w:rFonts w:ascii="Arial" w:hAnsi="Arial" w:cs="Arial" w:eastAsia="Arial"/>
          <w:b/>
          <w:i w:val="0"/>
          <w:color w:val="1B253B"/>
          <w:sz w:val="23"/>
        </w:rPr>
        <w:t>ISMS Manager</w:t>
      </w:r>
    </w:p>
    <w:p>
      <w:pPr>
        <w:pStyle w:val="ListBullet"/>
        <w:keepNext w:val="0"/>
        <w:spacing w:before="0" w:after="60" w:line="276" w:lineRule="auto"/>
        <w:ind w:left="432" w:hanging="288"/>
      </w:pPr>
      <w:r>
        <w:rPr>
          <w:rFonts w:ascii="Arial" w:hAnsi="Arial" w:cs="Arial" w:eastAsia="Arial"/>
          <w:b w:val="0"/>
          <w:i w:val="0"/>
          <w:sz w:val="21"/>
        </w:rPr>
        <w:t>Plans, runs and improves the ISMS, and keeps its documents up to date.</w:t>
      </w:r>
    </w:p>
    <w:p>
      <w:pPr>
        <w:pStyle w:val="ListBullet"/>
        <w:keepNext w:val="0"/>
        <w:spacing w:before="0" w:after="60" w:line="276" w:lineRule="auto"/>
        <w:ind w:left="432" w:hanging="288"/>
      </w:pPr>
      <w:r>
        <w:rPr>
          <w:rFonts w:ascii="Arial" w:hAnsi="Arial" w:cs="Arial" w:eastAsia="Arial"/>
          <w:b w:val="0"/>
          <w:i w:val="0"/>
          <w:sz w:val="21"/>
        </w:rPr>
        <w:t>Leads the risk assessment process and reports the results.</w:t>
      </w:r>
    </w:p>
    <w:p>
      <w:pPr>
        <w:pStyle w:val="ListBullet"/>
        <w:keepNext w:val="0"/>
        <w:spacing w:before="0" w:after="60" w:line="276" w:lineRule="auto"/>
        <w:ind w:left="432" w:hanging="288"/>
      </w:pPr>
      <w:r>
        <w:rPr>
          <w:rFonts w:ascii="Arial" w:hAnsi="Arial" w:cs="Arial" w:eastAsia="Arial"/>
          <w:b w:val="0"/>
          <w:i w:val="0"/>
          <w:sz w:val="21"/>
        </w:rPr>
        <w:t>Plans the internal audits and the management review, and tracks actions to completion.</w:t>
      </w:r>
    </w:p>
    <w:p>
      <w:pPr>
        <w:pStyle w:val="ListBullet"/>
        <w:keepNext w:val="0"/>
        <w:spacing w:before="0" w:after="60" w:line="276" w:lineRule="auto"/>
        <w:ind w:left="432" w:hanging="288"/>
      </w:pPr>
      <w:r>
        <w:rPr>
          <w:rFonts w:ascii="Arial" w:hAnsi="Arial" w:cs="Arial" w:eastAsia="Arial"/>
          <w:b w:val="0"/>
          <w:i w:val="0"/>
          <w:sz w:val="21"/>
        </w:rPr>
        <w:t>Reports on the performance of the ISMS to top management, as ISO/IEC 27001 clause 5.3 requires.</w:t>
      </w:r>
    </w:p>
    <w:p>
      <w:pPr>
        <w:pStyle w:val="ListBullet"/>
        <w:keepNext w:val="0"/>
        <w:spacing w:before="0" w:after="60" w:line="276" w:lineRule="auto"/>
        <w:ind w:left="432" w:hanging="288"/>
      </w:pPr>
      <w:r>
        <w:rPr>
          <w:rFonts w:ascii="Arial" w:hAnsi="Arial" w:cs="Arial" w:eastAsia="Arial"/>
          <w:b w:val="0"/>
          <w:i w:val="0"/>
          <w:sz w:val="21"/>
        </w:rPr>
        <w:t>Advises managers and staff, and runs security awareness activity.</w:t>
      </w:r>
    </w:p>
    <w:p>
      <w:pPr>
        <w:pStyle w:val="ListBullet"/>
        <w:keepNext w:val="0"/>
        <w:spacing w:before="0" w:after="60" w:line="276" w:lineRule="auto"/>
        <w:ind w:left="432" w:hanging="288"/>
      </w:pPr>
      <w:r>
        <w:rPr>
          <w:rFonts w:ascii="Arial" w:hAnsi="Arial" w:cs="Arial" w:eastAsia="Arial"/>
          <w:b/>
          <w:i w:val="0"/>
          <w:sz w:val="21"/>
        </w:rPr>
        <w:t>Authority:</w:t>
      </w:r>
      <w:r>
        <w:rPr>
          <w:rFonts w:ascii="Arial" w:hAnsi="Arial" w:cs="Arial" w:eastAsia="Arial"/>
          <w:b w:val="0"/>
          <w:i w:val="0"/>
          <w:sz w:val="21"/>
        </w:rPr>
        <w:t xml:space="preserve"> may require any area of the organisation to supply information about its security, may stop a change that creates unacceptable risk until top management has decided, and may open a nonconformity.</w:t>
      </w:r>
    </w:p>
    <w:p>
      <w:pPr>
        <w:keepNext w:val="0"/>
        <w:spacing w:before="0" w:after="40" w:line="240" w:lineRule="auto"/>
      </w:pPr>
    </w:p>
    <w:p>
      <w:pPr>
        <w:keepNext/>
        <w:spacing w:before="160" w:after="80" w:line="264" w:lineRule="auto"/>
      </w:pPr>
      <w:r>
        <w:rPr>
          <w:rFonts w:ascii="Arial" w:hAnsi="Arial" w:cs="Arial" w:eastAsia="Arial"/>
          <w:b/>
          <w:i w:val="0"/>
          <w:color w:val="1B253B"/>
          <w:sz w:val="23"/>
        </w:rPr>
        <w:t>Information security forum</w:t>
      </w:r>
    </w:p>
    <w:p>
      <w:pPr>
        <w:pStyle w:val="ListBullet"/>
        <w:keepNext w:val="0"/>
        <w:spacing w:before="0" w:after="60" w:line="276" w:lineRule="auto"/>
        <w:ind w:left="432" w:hanging="288"/>
      </w:pPr>
      <w:r>
        <w:rPr>
          <w:rFonts w:ascii="Arial" w:hAnsi="Arial" w:cs="Arial" w:eastAsia="Arial"/>
          <w:b w:val="0"/>
          <w:i w:val="0"/>
          <w:sz w:val="21"/>
        </w:rPr>
        <w:t xml:space="preserve">Meets </w:t>
      </w:r>
      <w:sdt>
        <w:sdtPr>
          <w:alias w:val="How often the information security forum meets"/>
          <w:tag w:val="forum_frequency"/>
        </w:sdtPr>
        <w:sdtContent>
          <w:r>
            <w:rPr>
              <w:rFonts w:ascii="Arial" w:hAnsi="Arial" w:cs="Arial" w:eastAsia="Arial"/>
              <w:b w:val="0"/>
              <w:i w:val="0"/>
              <w:sz w:val="21"/>
              <w:highlight w:val="yellow"/>
            </w:rPr>
            <w:t>&lt;monthly / quarterly&gt;</w:t>
          </w:r>
        </w:sdtContent>
      </w:sdt>
      <w:r>
        <w:rPr>
          <w:rFonts w:ascii="Arial" w:hAnsi="Arial" w:cs="Arial" w:eastAsia="Arial"/>
          <w:b w:val="0"/>
          <w:i w:val="0"/>
          <w:sz w:val="21"/>
        </w:rPr>
        <w:t xml:space="preserve"> to review incidents, risks, objectives and open actions.</w:t>
      </w:r>
    </w:p>
    <w:p>
      <w:pPr>
        <w:pStyle w:val="ListBullet"/>
        <w:keepNext w:val="0"/>
        <w:spacing w:before="0" w:after="60" w:line="276" w:lineRule="auto"/>
        <w:ind w:left="432" w:hanging="288"/>
      </w:pPr>
      <w:r>
        <w:rPr>
          <w:rFonts w:ascii="Arial" w:hAnsi="Arial" w:cs="Arial" w:eastAsia="Arial"/>
          <w:b w:val="0"/>
          <w:i w:val="0"/>
          <w:sz w:val="21"/>
        </w:rPr>
        <w:t>Agrees priorities and makes sure managers from different areas work together on security.</w:t>
      </w:r>
    </w:p>
    <w:p>
      <w:pPr>
        <w:pStyle w:val="ListBullet"/>
        <w:keepNext w:val="0"/>
        <w:spacing w:before="0" w:after="60" w:line="276" w:lineRule="auto"/>
        <w:ind w:left="432" w:hanging="288"/>
      </w:pPr>
      <w:r>
        <w:rPr>
          <w:rFonts w:ascii="Arial" w:hAnsi="Arial" w:cs="Arial" w:eastAsia="Arial"/>
          <w:b/>
          <w:i w:val="0"/>
          <w:sz w:val="21"/>
        </w:rPr>
        <w:t>Authority:</w:t>
      </w:r>
      <w:r>
        <w:rPr>
          <w:rFonts w:ascii="Arial" w:hAnsi="Arial" w:cs="Arial" w:eastAsia="Arial"/>
          <w:b w:val="0"/>
          <w:i w:val="0"/>
          <w:sz w:val="21"/>
        </w:rPr>
        <w:t xml:space="preserve"> approves policies below the ISMS policy, and recommends decisions to top management.</w:t>
      </w:r>
    </w:p>
    <w:p>
      <w:pPr>
        <w:keepNext w:val="0"/>
        <w:spacing w:before="0" w:after="40" w:line="240" w:lineRule="auto"/>
      </w:pPr>
    </w:p>
    <w:p>
      <w:pPr>
        <w:keepNext/>
        <w:spacing w:before="160" w:after="80" w:line="264" w:lineRule="auto"/>
      </w:pPr>
      <w:r>
        <w:rPr>
          <w:rFonts w:ascii="Arial" w:hAnsi="Arial" w:cs="Arial" w:eastAsia="Arial"/>
          <w:b/>
          <w:i w:val="0"/>
          <w:color w:val="1B253B"/>
          <w:sz w:val="23"/>
        </w:rPr>
        <w:t>Risk owners</w:t>
      </w:r>
    </w:p>
    <w:p>
      <w:pPr>
        <w:pStyle w:val="ListBullet"/>
        <w:keepNext w:val="0"/>
        <w:spacing w:before="0" w:after="60" w:line="276" w:lineRule="auto"/>
        <w:ind w:left="432" w:hanging="288"/>
      </w:pPr>
      <w:r>
        <w:rPr>
          <w:rFonts w:ascii="Arial" w:hAnsi="Arial" w:cs="Arial" w:eastAsia="Arial"/>
          <w:b w:val="0"/>
          <w:i w:val="0"/>
          <w:sz w:val="21"/>
        </w:rPr>
        <w:t>Understand the risks they own, decide how each will be treated, and approve the treatment plan.</w:t>
      </w:r>
    </w:p>
    <w:p>
      <w:pPr>
        <w:pStyle w:val="ListBullet"/>
        <w:keepNext w:val="0"/>
        <w:spacing w:before="0" w:after="60" w:line="276" w:lineRule="auto"/>
        <w:ind w:left="432" w:hanging="288"/>
      </w:pPr>
      <w:r>
        <w:rPr>
          <w:rFonts w:ascii="Arial" w:hAnsi="Arial" w:cs="Arial" w:eastAsia="Arial"/>
          <w:b w:val="0"/>
          <w:i w:val="0"/>
          <w:sz w:val="21"/>
        </w:rPr>
        <w:t>Accept the residual risk in writing when the treatment is complete.</w:t>
      </w:r>
    </w:p>
    <w:p>
      <w:pPr>
        <w:pStyle w:val="ListBullet"/>
        <w:keepNext w:val="0"/>
        <w:spacing w:before="0" w:after="60" w:line="276" w:lineRule="auto"/>
        <w:ind w:left="432" w:hanging="288"/>
      </w:pPr>
      <w:r>
        <w:rPr>
          <w:rFonts w:ascii="Arial" w:hAnsi="Arial" w:cs="Arial" w:eastAsia="Arial"/>
          <w:b/>
          <w:i w:val="0"/>
          <w:sz w:val="21"/>
        </w:rPr>
        <w:t>Authority:</w:t>
      </w:r>
      <w:r>
        <w:rPr>
          <w:rFonts w:ascii="Arial" w:hAnsi="Arial" w:cs="Arial" w:eastAsia="Arial"/>
          <w:b w:val="0"/>
          <w:i w:val="0"/>
          <w:sz w:val="21"/>
        </w:rPr>
        <w:t xml:space="preserve"> may accept risks within the limits set by top management, and must escalate anything above them.</w:t>
      </w:r>
    </w:p>
    <w:p>
      <w:pPr>
        <w:keepNext w:val="0"/>
        <w:spacing w:before="0" w:after="40" w:line="240" w:lineRule="auto"/>
      </w:pPr>
    </w:p>
    <w:p>
      <w:pPr>
        <w:keepNext/>
        <w:spacing w:before="160" w:after="80" w:line="264" w:lineRule="auto"/>
      </w:pPr>
      <w:r>
        <w:rPr>
          <w:rFonts w:ascii="Arial" w:hAnsi="Arial" w:cs="Arial" w:eastAsia="Arial"/>
          <w:b/>
          <w:i w:val="0"/>
          <w:color w:val="1B253B"/>
          <w:sz w:val="23"/>
        </w:rPr>
        <w:t>Asset owners</w:t>
      </w:r>
    </w:p>
    <w:p>
      <w:pPr>
        <w:pStyle w:val="ListBullet"/>
        <w:keepNext w:val="0"/>
        <w:spacing w:before="0" w:after="60" w:line="276" w:lineRule="auto"/>
        <w:ind w:left="432" w:hanging="288"/>
      </w:pPr>
      <w:r>
        <w:rPr>
          <w:rFonts w:ascii="Arial" w:hAnsi="Arial" w:cs="Arial" w:eastAsia="Arial"/>
          <w:b w:val="0"/>
          <w:i w:val="0"/>
          <w:sz w:val="21"/>
        </w:rPr>
        <w:t>Know what the asset is, classify it, and decide who may use it.</w:t>
      </w:r>
    </w:p>
    <w:p>
      <w:pPr>
        <w:pStyle w:val="ListBullet"/>
        <w:keepNext w:val="0"/>
        <w:spacing w:before="0" w:after="60" w:line="276" w:lineRule="auto"/>
        <w:ind w:left="432" w:hanging="288"/>
      </w:pPr>
      <w:r>
        <w:rPr>
          <w:rFonts w:ascii="Arial" w:hAnsi="Arial" w:cs="Arial" w:eastAsia="Arial"/>
          <w:b w:val="0"/>
          <w:i w:val="0"/>
          <w:sz w:val="21"/>
        </w:rPr>
        <w:t>Make sure it is protected, reviewed and disposed of correctly.</w:t>
      </w:r>
    </w:p>
    <w:p>
      <w:pPr>
        <w:keepNext w:val="0"/>
        <w:spacing w:before="0" w:after="40" w:line="240" w:lineRule="auto"/>
      </w:pPr>
    </w:p>
    <w:p>
      <w:pPr>
        <w:keepNext/>
        <w:spacing w:before="160" w:after="80" w:line="264" w:lineRule="auto"/>
      </w:pPr>
      <w:r>
        <w:rPr>
          <w:rFonts w:ascii="Arial" w:hAnsi="Arial" w:cs="Arial" w:eastAsia="Arial"/>
          <w:b/>
          <w:i w:val="0"/>
          <w:color w:val="1B253B"/>
          <w:sz w:val="23"/>
        </w:rPr>
        <w:t>Managers and team leaders</w:t>
      </w:r>
    </w:p>
    <w:p>
      <w:pPr>
        <w:pStyle w:val="ListBullet"/>
        <w:keepNext w:val="0"/>
        <w:spacing w:before="0" w:after="60" w:line="276" w:lineRule="auto"/>
        <w:ind w:left="432" w:hanging="288"/>
      </w:pPr>
      <w:r>
        <w:rPr>
          <w:rFonts w:ascii="Arial" w:hAnsi="Arial" w:cs="Arial" w:eastAsia="Arial"/>
          <w:b w:val="0"/>
          <w:i w:val="0"/>
          <w:sz w:val="21"/>
        </w:rPr>
        <w:t>Make sure the people they manage are trained, follow the rules and have the access they need and no more.</w:t>
      </w:r>
    </w:p>
    <w:p>
      <w:pPr>
        <w:pStyle w:val="ListBullet"/>
        <w:keepNext w:val="0"/>
        <w:spacing w:before="0" w:after="60" w:line="276" w:lineRule="auto"/>
        <w:ind w:left="432" w:hanging="288"/>
      </w:pPr>
      <w:r>
        <w:rPr>
          <w:rFonts w:ascii="Arial" w:hAnsi="Arial" w:cs="Arial" w:eastAsia="Arial"/>
          <w:b w:val="0"/>
          <w:i w:val="0"/>
          <w:sz w:val="21"/>
        </w:rPr>
        <w:t>Report incidents and weaknesses, and take part in audits and reviews.</w:t>
      </w:r>
    </w:p>
    <w:p>
      <w:pPr>
        <w:pStyle w:val="ListBullet"/>
        <w:keepNext w:val="0"/>
        <w:spacing w:before="0" w:after="60" w:line="276" w:lineRule="auto"/>
        <w:ind w:left="432" w:hanging="288"/>
      </w:pPr>
      <w:r>
        <w:rPr>
          <w:rFonts w:ascii="Arial" w:hAnsi="Arial" w:cs="Arial" w:eastAsia="Arial"/>
          <w:b w:val="0"/>
          <w:i w:val="0"/>
          <w:sz w:val="21"/>
        </w:rPr>
        <w:t>Tell HR and IT promptly when somebody joins, moves or leaves.</w:t>
      </w:r>
    </w:p>
    <w:p>
      <w:pPr>
        <w:keepNext w:val="0"/>
        <w:spacing w:before="0" w:after="40" w:line="240" w:lineRule="auto"/>
      </w:pPr>
    </w:p>
    <w:p>
      <w:pPr>
        <w:keepNext/>
        <w:spacing w:before="160" w:after="80" w:line="264" w:lineRule="auto"/>
      </w:pPr>
      <w:r>
        <w:rPr>
          <w:rFonts w:ascii="Arial" w:hAnsi="Arial" w:cs="Arial" w:eastAsia="Arial"/>
          <w:b/>
          <w:i w:val="0"/>
          <w:color w:val="1B253B"/>
          <w:sz w:val="23"/>
        </w:rPr>
        <w:t>IT and operations</w:t>
      </w:r>
    </w:p>
    <w:p>
      <w:pPr>
        <w:pStyle w:val="ListBullet"/>
        <w:keepNext w:val="0"/>
        <w:spacing w:before="0" w:after="60" w:line="276" w:lineRule="auto"/>
        <w:ind w:left="432" w:hanging="288"/>
      </w:pPr>
      <w:r>
        <w:rPr>
          <w:rFonts w:ascii="Arial" w:hAnsi="Arial" w:cs="Arial" w:eastAsia="Arial"/>
          <w:b w:val="0"/>
          <w:i w:val="0"/>
          <w:sz w:val="21"/>
        </w:rPr>
        <w:t>Run, secure, patch, monitor and back up the systems and networks in the scope.</w:t>
      </w:r>
    </w:p>
    <w:p>
      <w:pPr>
        <w:pStyle w:val="ListBullet"/>
        <w:keepNext w:val="0"/>
        <w:spacing w:before="0" w:after="60" w:line="276" w:lineRule="auto"/>
        <w:ind w:left="432" w:hanging="288"/>
      </w:pPr>
      <w:r>
        <w:rPr>
          <w:rFonts w:ascii="Arial" w:hAnsi="Arial" w:cs="Arial" w:eastAsia="Arial"/>
          <w:b w:val="0"/>
          <w:i w:val="0"/>
          <w:sz w:val="21"/>
        </w:rPr>
        <w:t>Manage user accounts and access rights, and keep logs.</w:t>
      </w:r>
    </w:p>
    <w:p>
      <w:pPr>
        <w:pStyle w:val="ListBullet"/>
        <w:keepNext w:val="0"/>
        <w:spacing w:before="0" w:after="60" w:line="276" w:lineRule="auto"/>
        <w:ind w:left="432" w:hanging="288"/>
      </w:pPr>
      <w:r>
        <w:rPr>
          <w:rFonts w:ascii="Arial" w:hAnsi="Arial" w:cs="Arial" w:eastAsia="Arial"/>
          <w:b w:val="0"/>
          <w:i w:val="0"/>
          <w:sz w:val="21"/>
        </w:rPr>
        <w:t>Respond to technical incidents and help investigate them.</w:t>
      </w:r>
    </w:p>
    <w:p>
      <w:pPr>
        <w:keepNext w:val="0"/>
        <w:spacing w:before="0" w:after="40" w:line="240" w:lineRule="auto"/>
      </w:pPr>
    </w:p>
    <w:p>
      <w:pPr>
        <w:keepNext/>
        <w:spacing w:before="160" w:after="80" w:line="264" w:lineRule="auto"/>
      </w:pPr>
      <w:r>
        <w:rPr>
          <w:rFonts w:ascii="Arial" w:hAnsi="Arial" w:cs="Arial" w:eastAsia="Arial"/>
          <w:b/>
          <w:i w:val="0"/>
          <w:color w:val="1B253B"/>
          <w:sz w:val="23"/>
        </w:rPr>
        <w:t>Human resources</w:t>
      </w:r>
    </w:p>
    <w:p>
      <w:pPr>
        <w:pStyle w:val="ListBullet"/>
        <w:keepNext w:val="0"/>
        <w:spacing w:before="0" w:after="60" w:line="276" w:lineRule="auto"/>
        <w:ind w:left="432" w:hanging="288"/>
      </w:pPr>
      <w:r>
        <w:rPr>
          <w:rFonts w:ascii="Arial" w:hAnsi="Arial" w:cs="Arial" w:eastAsia="Arial"/>
          <w:b w:val="0"/>
          <w:i w:val="0"/>
          <w:sz w:val="21"/>
        </w:rPr>
        <w:t>Carry out checks before employment where the law allows, and put security terms in contracts.</w:t>
      </w:r>
    </w:p>
    <w:p>
      <w:pPr>
        <w:pStyle w:val="ListBullet"/>
        <w:keepNext w:val="0"/>
        <w:spacing w:before="0" w:after="60" w:line="276" w:lineRule="auto"/>
        <w:ind w:left="432" w:hanging="288"/>
      </w:pPr>
      <w:r>
        <w:rPr>
          <w:rFonts w:ascii="Arial" w:hAnsi="Arial" w:cs="Arial" w:eastAsia="Arial"/>
          <w:b w:val="0"/>
          <w:i w:val="0"/>
          <w:sz w:val="21"/>
        </w:rPr>
        <w:t>Run induction and make sure everyone completes security training.</w:t>
      </w:r>
    </w:p>
    <w:p>
      <w:pPr>
        <w:pStyle w:val="ListBullet"/>
        <w:keepNext w:val="0"/>
        <w:spacing w:before="0" w:after="60" w:line="276" w:lineRule="auto"/>
        <w:ind w:left="432" w:hanging="288"/>
      </w:pPr>
      <w:r>
        <w:rPr>
          <w:rFonts w:ascii="Arial" w:hAnsi="Arial" w:cs="Arial" w:eastAsia="Arial"/>
          <w:b w:val="0"/>
          <w:i w:val="0"/>
          <w:sz w:val="21"/>
        </w:rPr>
        <w:t>Manage the disciplinary process, and make sure leavers return assets and lose access.</w:t>
      </w:r>
    </w:p>
    <w:p>
      <w:pPr>
        <w:keepNext w:val="0"/>
        <w:spacing w:before="0" w:after="40" w:line="240" w:lineRule="auto"/>
      </w:pPr>
    </w:p>
    <w:p>
      <w:pPr>
        <w:keepNext/>
        <w:spacing w:before="160" w:after="80" w:line="264" w:lineRule="auto"/>
      </w:pPr>
      <w:r>
        <w:rPr>
          <w:rFonts w:ascii="Arial" w:hAnsi="Arial" w:cs="Arial" w:eastAsia="Arial"/>
          <w:b/>
          <w:i w:val="0"/>
          <w:color w:val="1B253B"/>
          <w:sz w:val="23"/>
        </w:rPr>
        <w:t>Legal, privacy and data protection</w:t>
      </w:r>
    </w:p>
    <w:p>
      <w:pPr>
        <w:pStyle w:val="ListBullet"/>
        <w:keepNext w:val="0"/>
        <w:spacing w:before="0" w:after="60" w:line="276" w:lineRule="auto"/>
        <w:ind w:left="432" w:hanging="288"/>
      </w:pPr>
      <w:r>
        <w:rPr>
          <w:rFonts w:ascii="Arial" w:hAnsi="Arial" w:cs="Arial" w:eastAsia="Arial"/>
          <w:b w:val="0"/>
          <w:i w:val="0"/>
          <w:sz w:val="21"/>
        </w:rPr>
        <w:t>Identify the laws, regulations and contract terms that apply, and keep the register of them up to date.</w:t>
      </w:r>
    </w:p>
    <w:p>
      <w:pPr>
        <w:pStyle w:val="ListBullet"/>
        <w:keepNext w:val="0"/>
        <w:spacing w:before="0" w:after="60" w:line="276" w:lineRule="auto"/>
        <w:ind w:left="432" w:hanging="288"/>
      </w:pPr>
      <w:r>
        <w:rPr>
          <w:rFonts w:ascii="Arial" w:hAnsi="Arial" w:cs="Arial" w:eastAsia="Arial"/>
          <w:b w:val="0"/>
          <w:i w:val="0"/>
          <w:sz w:val="21"/>
        </w:rPr>
        <w:t>Advise on privacy, breach notification and contracts with suppliers and customers.</w:t>
      </w:r>
    </w:p>
    <w:p>
      <w:pPr>
        <w:keepNext w:val="0"/>
        <w:spacing w:before="0" w:after="40" w:line="240" w:lineRule="auto"/>
      </w:pPr>
    </w:p>
    <w:p>
      <w:pPr>
        <w:keepNext/>
        <w:spacing w:before="160" w:after="80" w:line="264" w:lineRule="auto"/>
      </w:pPr>
      <w:r>
        <w:rPr>
          <w:rFonts w:ascii="Arial" w:hAnsi="Arial" w:cs="Arial" w:eastAsia="Arial"/>
          <w:b/>
          <w:i w:val="0"/>
          <w:color w:val="1B253B"/>
          <w:sz w:val="23"/>
        </w:rPr>
        <w:t>Internal auditors</w:t>
      </w:r>
    </w:p>
    <w:p>
      <w:pPr>
        <w:pStyle w:val="ListBullet"/>
        <w:keepNext w:val="0"/>
        <w:spacing w:before="0" w:after="60" w:line="276" w:lineRule="auto"/>
        <w:ind w:left="432" w:hanging="288"/>
      </w:pPr>
      <w:r>
        <w:rPr>
          <w:rFonts w:ascii="Arial" w:hAnsi="Arial" w:cs="Arial" w:eastAsia="Arial"/>
          <w:b w:val="0"/>
          <w:i w:val="0"/>
          <w:sz w:val="21"/>
        </w:rPr>
        <w:t>Check independently that the ISMS meets the standard and the organisation's own rules, and report what they find.</w:t>
      </w:r>
    </w:p>
    <w:p>
      <w:pPr>
        <w:pStyle w:val="ListBullet"/>
        <w:keepNext w:val="0"/>
        <w:spacing w:before="0" w:after="60" w:line="276" w:lineRule="auto"/>
        <w:ind w:left="432" w:hanging="288"/>
      </w:pPr>
      <w:r>
        <w:rPr>
          <w:rFonts w:ascii="Arial" w:hAnsi="Arial" w:cs="Arial" w:eastAsia="Arial"/>
          <w:b/>
          <w:i w:val="0"/>
          <w:sz w:val="21"/>
        </w:rPr>
        <w:t>Authority:</w:t>
      </w:r>
      <w:r>
        <w:rPr>
          <w:rFonts w:ascii="Arial" w:hAnsi="Arial" w:cs="Arial" w:eastAsia="Arial"/>
          <w:b w:val="0"/>
          <w:i w:val="0"/>
          <w:sz w:val="21"/>
        </w:rPr>
        <w:t xml:space="preserve"> access to the people, records and systems they need to audit. They must not audit their own work.</w:t>
      </w:r>
    </w:p>
    <w:p>
      <w:pPr>
        <w:keepNext w:val="0"/>
        <w:spacing w:before="0" w:after="40" w:line="240" w:lineRule="auto"/>
      </w:pPr>
    </w:p>
    <w:p>
      <w:pPr>
        <w:keepNext/>
        <w:spacing w:before="160" w:after="80" w:line="264" w:lineRule="auto"/>
      </w:pPr>
      <w:r>
        <w:rPr>
          <w:rFonts w:ascii="Arial" w:hAnsi="Arial" w:cs="Arial" w:eastAsia="Arial"/>
          <w:b/>
          <w:i w:val="0"/>
          <w:color w:val="1B253B"/>
          <w:sz w:val="23"/>
        </w:rPr>
        <w:t>Everybody</w:t>
      </w:r>
    </w:p>
    <w:p>
      <w:pPr>
        <w:pStyle w:val="ListBullet"/>
        <w:keepNext w:val="0"/>
        <w:spacing w:before="0" w:after="60" w:line="276" w:lineRule="auto"/>
        <w:ind w:left="432" w:hanging="288"/>
      </w:pPr>
      <w:r>
        <w:rPr>
          <w:rFonts w:ascii="Arial" w:hAnsi="Arial" w:cs="Arial" w:eastAsia="Arial"/>
          <w:b w:val="0"/>
          <w:i w:val="0"/>
          <w:sz w:val="21"/>
        </w:rPr>
        <w:t>Follow the ISMS policy and the rules that apply to their work.</w:t>
      </w:r>
    </w:p>
    <w:p>
      <w:pPr>
        <w:pStyle w:val="ListBullet"/>
        <w:keepNext w:val="0"/>
        <w:spacing w:before="0" w:after="60" w:line="276" w:lineRule="auto"/>
        <w:ind w:left="432" w:hanging="288"/>
      </w:pPr>
      <w:r>
        <w:rPr>
          <w:rFonts w:ascii="Arial" w:hAnsi="Arial" w:cs="Arial" w:eastAsia="Arial"/>
          <w:b w:val="0"/>
          <w:i w:val="0"/>
          <w:sz w:val="21"/>
        </w:rPr>
        <w:t>Complete security training, protect the information and equipment they use, and report incidents and weaknesses at once.</w:t>
      </w:r>
    </w:p>
    <w:p>
      <w:pPr>
        <w:keepNext w:val="0"/>
        <w:spacing w:before="0" w:after="40" w:line="240" w:lineRule="auto"/>
      </w:pPr>
    </w:p>
    <w:p>
      <w:pPr>
        <w:keepNext/>
        <w:spacing w:before="160" w:after="80" w:line="264" w:lineRule="auto"/>
      </w:pPr>
      <w:r>
        <w:rPr>
          <w:rFonts w:ascii="Arial" w:hAnsi="Arial" w:cs="Arial" w:eastAsia="Arial"/>
          <w:b/>
          <w:i w:val="0"/>
          <w:color w:val="1B253B"/>
          <w:sz w:val="23"/>
        </w:rPr>
        <w:t>Suppliers and contractors</w:t>
      </w:r>
    </w:p>
    <w:p>
      <w:pPr>
        <w:pStyle w:val="ListBullet"/>
        <w:keepNext w:val="0"/>
        <w:spacing w:before="0" w:after="60" w:line="276" w:lineRule="auto"/>
        <w:ind w:left="432" w:hanging="288"/>
      </w:pPr>
      <w:r>
        <w:rPr>
          <w:rFonts w:ascii="Arial" w:hAnsi="Arial" w:cs="Arial" w:eastAsia="Arial"/>
          <w:b w:val="0"/>
          <w:i w:val="0"/>
          <w:sz w:val="21"/>
        </w:rPr>
        <w:t xml:space="preserve">Meet the security requirements in their contract, and tell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promptly about any incident that affects its information.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Who is responsible for what</w:t>
      </w:r>
    </w:p>
    <w:p>
      <w:pPr>
        <w:keepNext w:val="0"/>
        <w:spacing w:before="0" w:after="120" w:line="276" w:lineRule="auto"/>
      </w:pPr>
      <w:r>
        <w:rPr>
          <w:rFonts w:ascii="Arial" w:hAnsi="Arial" w:cs="Arial" w:eastAsia="Arial"/>
          <w:b w:val="0"/>
          <w:i w:val="0"/>
          <w:sz w:val="21"/>
        </w:rPr>
        <w:t>R = does the work. A = accountable, makes the decision and answers for it. C = consulted before. I = informed after.</w:t>
      </w:r>
    </w:p>
    <w:tbl>
      <w:tblPr>
        <w:tblStyle w:val="TableGrid"/>
        <w:tblW w:type="auto" w:w="0"/>
        <w:jc w:val="center"/>
        <w:tblLayout w:type="fixed"/>
        <w:tblLook w:firstColumn="1" w:firstRow="1" w:lastColumn="0" w:lastRow="0" w:noHBand="0" w:noVBand="1" w:val="04A0"/>
      </w:tblPr>
      <w:tblGrid>
        <w:gridCol w:w="1310"/>
        <w:gridCol w:w="1310"/>
        <w:gridCol w:w="1310"/>
        <w:gridCol w:w="1310"/>
        <w:gridCol w:w="1310"/>
        <w:gridCol w:w="1310"/>
        <w:gridCol w:w="1310"/>
      </w:tblGrid>
      <w:tr>
        <w:trPr>
          <w:tblHeader w:val="true"/>
        </w:trPr>
        <w:tc>
          <w:tcPr>
            <w:tcW w:type="dxa" w:w="3168"/>
            <w:shd w:val="clear" w:color="auto" w:fill="DCE6F5"/>
          </w:tcPr>
          <w:p>
            <w:pPr>
              <w:keepNext w:val="0"/>
              <w:spacing w:before="40" w:after="40" w:line="240" w:lineRule="auto"/>
            </w:pPr>
            <w:r>
              <w:rPr>
                <w:rFonts w:ascii="Arial" w:hAnsi="Arial" w:cs="Arial" w:eastAsia="Arial"/>
                <w:b/>
                <w:i w:val="0"/>
                <w:color w:val="1B253B"/>
                <w:sz w:val="18"/>
              </w:rPr>
              <w:t>Activity</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Top mgmt</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ISMS Manager</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Risk / asset owner</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Managers</w:t>
            </w:r>
          </w:p>
        </w:tc>
        <w:tc>
          <w:tcPr>
            <w:tcW w:type="dxa" w:w="720"/>
            <w:shd w:val="clear" w:color="auto" w:fill="DCE6F5"/>
          </w:tcPr>
          <w:p>
            <w:pPr>
              <w:keepNext w:val="0"/>
              <w:spacing w:before="40" w:after="40" w:line="240" w:lineRule="auto"/>
            </w:pPr>
            <w:r>
              <w:rPr>
                <w:rFonts w:ascii="Arial" w:hAnsi="Arial" w:cs="Arial" w:eastAsia="Arial"/>
                <w:b/>
                <w:i w:val="0"/>
                <w:color w:val="1B253B"/>
                <w:sz w:val="18"/>
              </w:rPr>
              <w:t>IT</w:t>
            </w:r>
          </w:p>
        </w:tc>
        <w:tc>
          <w:tcPr>
            <w:tcW w:type="dxa" w:w="720"/>
            <w:shd w:val="clear" w:color="auto" w:fill="DCE6F5"/>
          </w:tcPr>
          <w:p>
            <w:pPr>
              <w:keepNext w:val="0"/>
              <w:spacing w:before="40" w:after="40" w:line="240" w:lineRule="auto"/>
            </w:pPr>
            <w:r>
              <w:rPr>
                <w:rFonts w:ascii="Arial" w:hAnsi="Arial" w:cs="Arial" w:eastAsia="Arial"/>
                <w:b/>
                <w:i w:val="0"/>
                <w:color w:val="1B253B"/>
                <w:sz w:val="18"/>
              </w:rPr>
              <w:t>HR</w:t>
            </w:r>
          </w:p>
        </w:tc>
      </w:tr>
      <w:tr>
        <w:trPr>
          <w:cantSplit w:val="true"/>
        </w:trPr>
        <w:tc>
          <w:tcPr>
            <w:tcW w:type="dxa" w:w="3168"/>
          </w:tcPr>
          <w:p>
            <w:pPr>
              <w:keepNext w:val="0"/>
              <w:spacing w:before="40" w:after="40" w:line="240" w:lineRule="auto"/>
            </w:pPr>
            <w:r>
              <w:rPr>
                <w:rFonts w:ascii="Arial" w:hAnsi="Arial" w:cs="Arial" w:eastAsia="Arial"/>
                <w:b w:val="0"/>
                <w:i w:val="0"/>
                <w:sz w:val="18"/>
              </w:rPr>
              <w:t>Approve the ISMS policy and objectives</w:t>
            </w:r>
          </w:p>
        </w:tc>
        <w:tc>
          <w:tcPr>
            <w:tcW w:type="dxa" w:w="1008"/>
          </w:tcPr>
          <w:p>
            <w:pPr>
              <w:keepNext w:val="0"/>
              <w:spacing w:before="40" w:after="40" w:line="240" w:lineRule="auto"/>
            </w:pPr>
            <w:r>
              <w:rPr>
                <w:rFonts w:ascii="Arial" w:hAnsi="Arial" w:cs="Arial" w:eastAsia="Arial"/>
                <w:b w:val="0"/>
                <w:i w:val="0"/>
                <w:sz w:val="18"/>
              </w:rPr>
              <w:t>A</w:t>
            </w:r>
          </w:p>
        </w:tc>
        <w:tc>
          <w:tcPr>
            <w:tcW w:type="dxa" w:w="1152"/>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I</w:t>
            </w:r>
          </w:p>
        </w:tc>
        <w:tc>
          <w:tcPr>
            <w:tcW w:type="dxa" w:w="720"/>
          </w:tcPr>
          <w:p>
            <w:pPr>
              <w:keepNext w:val="0"/>
              <w:spacing w:before="40" w:after="40" w:line="240" w:lineRule="auto"/>
            </w:pPr>
            <w:r>
              <w:rPr>
                <w:rFonts w:ascii="Arial" w:hAnsi="Arial" w:cs="Arial" w:eastAsia="Arial"/>
                <w:b w:val="0"/>
                <w:i w:val="0"/>
                <w:sz w:val="18"/>
              </w:rPr>
              <w:t>I</w:t>
            </w:r>
          </w:p>
        </w:tc>
        <w:tc>
          <w:tcPr>
            <w:tcW w:type="dxa" w:w="720"/>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Assess and treat risks</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R</w:t>
            </w:r>
          </w:p>
        </w:tc>
        <w:tc>
          <w:tcPr>
            <w:tcW w:type="dxa" w:w="1008"/>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r>
      <w:tr>
        <w:trPr>
          <w:cantSplit w:val="true"/>
        </w:trPr>
        <w:tc>
          <w:tcPr>
            <w:tcW w:type="dxa" w:w="3168"/>
          </w:tcPr>
          <w:p>
            <w:pPr>
              <w:keepNext w:val="0"/>
              <w:spacing w:before="40" w:after="40" w:line="240" w:lineRule="auto"/>
            </w:pPr>
            <w:r>
              <w:rPr>
                <w:rFonts w:ascii="Arial" w:hAnsi="Arial" w:cs="Arial" w:eastAsia="Arial"/>
                <w:b w:val="0"/>
                <w:i w:val="0"/>
                <w:sz w:val="18"/>
              </w:rPr>
              <w:t>Approve the Statement of Applicability</w:t>
            </w:r>
          </w:p>
        </w:tc>
        <w:tc>
          <w:tcPr>
            <w:tcW w:type="dxa" w:w="1008"/>
          </w:tcPr>
          <w:p>
            <w:pPr>
              <w:keepNext w:val="0"/>
              <w:spacing w:before="40" w:after="40" w:line="240" w:lineRule="auto"/>
            </w:pPr>
            <w:r>
              <w:rPr>
                <w:rFonts w:ascii="Arial" w:hAnsi="Arial" w:cs="Arial" w:eastAsia="Arial"/>
                <w:b w:val="0"/>
                <w:i w:val="0"/>
                <w:sz w:val="18"/>
              </w:rPr>
              <w:t>A</w:t>
            </w:r>
          </w:p>
        </w:tc>
        <w:tc>
          <w:tcPr>
            <w:tcW w:type="dxa" w:w="1152"/>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I</w:t>
            </w:r>
          </w:p>
        </w:tc>
        <w:tc>
          <w:tcPr>
            <w:tcW w:type="dxa" w:w="720"/>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I</w:t>
            </w:r>
          </w:p>
        </w:tc>
      </w:tr>
      <w:tr>
        <w:trPr>
          <w:cantSplit w:val="true"/>
        </w:trPr>
        <w:tc>
          <w:tcPr>
            <w:tcW w:type="dxa" w:w="3168"/>
          </w:tcPr>
          <w:p>
            <w:pPr>
              <w:keepNext w:val="0"/>
              <w:spacing w:before="40" w:after="40" w:line="240" w:lineRule="auto"/>
            </w:pPr>
            <w:r>
              <w:rPr>
                <w:rFonts w:ascii="Arial" w:hAnsi="Arial" w:cs="Arial" w:eastAsia="Arial"/>
                <w:b w:val="0"/>
                <w:i w:val="0"/>
                <w:sz w:val="18"/>
              </w:rPr>
              <w:t>Run security awareness training</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R</w:t>
            </w:r>
          </w:p>
        </w:tc>
      </w:tr>
      <w:tr>
        <w:trPr>
          <w:cantSplit w:val="true"/>
        </w:trPr>
        <w:tc>
          <w:tcPr>
            <w:tcW w:type="dxa" w:w="3168"/>
          </w:tcPr>
          <w:p>
            <w:pPr>
              <w:keepNext w:val="0"/>
              <w:spacing w:before="40" w:after="40" w:line="240" w:lineRule="auto"/>
            </w:pPr>
            <w:r>
              <w:rPr>
                <w:rFonts w:ascii="Arial" w:hAnsi="Arial" w:cs="Arial" w:eastAsia="Arial"/>
                <w:b w:val="0"/>
                <w:i w:val="0"/>
                <w:sz w:val="18"/>
              </w:rPr>
              <w:t>Manage access rights</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C</w:t>
            </w:r>
          </w:p>
        </w:tc>
        <w:tc>
          <w:tcPr>
            <w:tcW w:type="dxa" w:w="1296"/>
          </w:tcPr>
          <w:p>
            <w:pPr>
              <w:keepNext w:val="0"/>
              <w:spacing w:before="40" w:after="40" w:line="240" w:lineRule="auto"/>
            </w:pPr>
            <w:r>
              <w:rPr>
                <w:rFonts w:ascii="Arial" w:hAnsi="Arial" w:cs="Arial" w:eastAsia="Arial"/>
                <w:b w:val="0"/>
                <w:i w:val="0"/>
                <w:sz w:val="18"/>
              </w:rPr>
              <w:t>A</w:t>
            </w:r>
          </w:p>
        </w:tc>
        <w:tc>
          <w:tcPr>
            <w:tcW w:type="dxa" w:w="1008"/>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C</w:t>
            </w:r>
          </w:p>
        </w:tc>
      </w:tr>
      <w:tr>
        <w:trPr>
          <w:cantSplit w:val="true"/>
        </w:trPr>
        <w:tc>
          <w:tcPr>
            <w:tcW w:type="dxa" w:w="3168"/>
          </w:tcPr>
          <w:p>
            <w:pPr>
              <w:keepNext w:val="0"/>
              <w:spacing w:before="40" w:after="40" w:line="240" w:lineRule="auto"/>
            </w:pPr>
            <w:r>
              <w:rPr>
                <w:rFonts w:ascii="Arial" w:hAnsi="Arial" w:cs="Arial" w:eastAsia="Arial"/>
                <w:b w:val="0"/>
                <w:i w:val="0"/>
                <w:sz w:val="18"/>
              </w:rPr>
              <w:t>Respond to an incident</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C</w:t>
            </w:r>
          </w:p>
        </w:tc>
      </w:tr>
      <w:tr>
        <w:trPr>
          <w:cantSplit w:val="true"/>
        </w:trPr>
        <w:tc>
          <w:tcPr>
            <w:tcW w:type="dxa" w:w="3168"/>
          </w:tcPr>
          <w:p>
            <w:pPr>
              <w:keepNext w:val="0"/>
              <w:spacing w:before="40" w:after="40" w:line="240" w:lineRule="auto"/>
            </w:pPr>
            <w:r>
              <w:rPr>
                <w:rFonts w:ascii="Arial" w:hAnsi="Arial" w:cs="Arial" w:eastAsia="Arial"/>
                <w:b w:val="0"/>
                <w:i w:val="0"/>
                <w:sz w:val="18"/>
              </w:rPr>
              <w:t>Carry out internal audits</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r>
      <w:tr>
        <w:trPr>
          <w:cantSplit w:val="true"/>
        </w:trPr>
        <w:tc>
          <w:tcPr>
            <w:tcW w:type="dxa" w:w="3168"/>
          </w:tcPr>
          <w:p>
            <w:pPr>
              <w:keepNext w:val="0"/>
              <w:spacing w:before="40" w:after="40" w:line="240" w:lineRule="auto"/>
            </w:pPr>
            <w:r>
              <w:rPr>
                <w:rFonts w:ascii="Arial" w:hAnsi="Arial" w:cs="Arial" w:eastAsia="Arial"/>
                <w:b w:val="0"/>
                <w:i w:val="0"/>
                <w:sz w:val="18"/>
              </w:rPr>
              <w:t>Hold the management review</w:t>
            </w:r>
          </w:p>
        </w:tc>
        <w:tc>
          <w:tcPr>
            <w:tcW w:type="dxa" w:w="1008"/>
          </w:tcPr>
          <w:p>
            <w:pPr>
              <w:keepNext w:val="0"/>
              <w:spacing w:before="40" w:after="40" w:line="240" w:lineRule="auto"/>
            </w:pPr>
            <w:r>
              <w:rPr>
                <w:rFonts w:ascii="Arial" w:hAnsi="Arial" w:cs="Arial" w:eastAsia="Arial"/>
                <w:b w:val="0"/>
                <w:i w:val="0"/>
                <w:sz w:val="18"/>
              </w:rPr>
              <w:t>A</w:t>
            </w:r>
          </w:p>
        </w:tc>
        <w:tc>
          <w:tcPr>
            <w:tcW w:type="dxa" w:w="1152"/>
          </w:tcPr>
          <w:p>
            <w:pPr>
              <w:keepNext w:val="0"/>
              <w:spacing w:before="40" w:after="40" w:line="240" w:lineRule="auto"/>
            </w:pPr>
            <w:r>
              <w:rPr>
                <w:rFonts w:ascii="Arial" w:hAnsi="Arial" w:cs="Arial" w:eastAsia="Arial"/>
                <w:b w:val="0"/>
                <w:i w:val="0"/>
                <w:sz w:val="18"/>
              </w:rPr>
              <w:t>R</w:t>
            </w:r>
          </w:p>
        </w:tc>
        <w:tc>
          <w:tcPr>
            <w:tcW w:type="dxa" w:w="1296"/>
          </w:tcPr>
          <w:p>
            <w:pPr>
              <w:keepNext w:val="0"/>
              <w:spacing w:before="40" w:after="40" w:line="240" w:lineRule="auto"/>
            </w:pPr>
            <w:r>
              <w:rPr>
                <w:rFonts w:ascii="Arial" w:hAnsi="Arial" w:cs="Arial" w:eastAsia="Arial"/>
                <w:b w:val="0"/>
                <w:i w:val="0"/>
                <w:sz w:val="18"/>
              </w:rPr>
              <w:t>C</w:t>
            </w:r>
          </w:p>
        </w:tc>
        <w:tc>
          <w:tcPr>
            <w:tcW w:type="dxa" w:w="1008"/>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c>
          <w:tcPr>
            <w:tcW w:type="dxa" w:w="720"/>
          </w:tcPr>
          <w:p>
            <w:pPr>
              <w:keepNext w:val="0"/>
              <w:spacing w:before="40" w:after="40" w:line="240" w:lineRule="auto"/>
            </w:pPr>
            <w:r>
              <w:rPr>
                <w:rFonts w:ascii="Arial" w:hAnsi="Arial" w:cs="Arial" w:eastAsia="Arial"/>
                <w:b w:val="0"/>
                <w:i w:val="0"/>
                <w:sz w:val="18"/>
              </w:rPr>
              <w:t>C</w:t>
            </w:r>
          </w:p>
        </w:tc>
      </w:tr>
      <w:tr>
        <w:trPr>
          <w:cantSplit w:val="true"/>
        </w:trPr>
        <w:tc>
          <w:tcPr>
            <w:tcW w:type="dxa" w:w="3168"/>
          </w:tcPr>
          <w:p>
            <w:pPr>
              <w:keepNext w:val="0"/>
              <w:spacing w:before="40" w:after="40" w:line="240" w:lineRule="auto"/>
            </w:pPr>
            <w:r>
              <w:rPr>
                <w:rFonts w:ascii="Arial" w:hAnsi="Arial" w:cs="Arial" w:eastAsia="Arial"/>
                <w:b w:val="0"/>
                <w:i w:val="0"/>
                <w:sz w:val="18"/>
              </w:rPr>
              <w:t>Correct a nonconformity</w:t>
            </w:r>
          </w:p>
        </w:tc>
        <w:tc>
          <w:tcPr>
            <w:tcW w:type="dxa" w:w="1008"/>
          </w:tcPr>
          <w:p>
            <w:pPr>
              <w:keepNext w:val="0"/>
              <w:spacing w:before="40" w:after="40" w:line="240" w:lineRule="auto"/>
            </w:pPr>
            <w:r>
              <w:rPr>
                <w:rFonts w:ascii="Arial" w:hAnsi="Arial" w:cs="Arial" w:eastAsia="Arial"/>
                <w:b w:val="0"/>
                <w:i w:val="0"/>
                <w:sz w:val="18"/>
              </w:rPr>
              <w:t>I</w:t>
            </w:r>
          </w:p>
        </w:tc>
        <w:tc>
          <w:tcPr>
            <w:tcW w:type="dxa" w:w="1152"/>
          </w:tcPr>
          <w:p>
            <w:pPr>
              <w:keepNext w:val="0"/>
              <w:spacing w:before="40" w:after="40" w:line="240" w:lineRule="auto"/>
            </w:pPr>
            <w:r>
              <w:rPr>
                <w:rFonts w:ascii="Arial" w:hAnsi="Arial" w:cs="Arial" w:eastAsia="Arial"/>
                <w:b w:val="0"/>
                <w:i w:val="0"/>
                <w:sz w:val="18"/>
              </w:rPr>
              <w:t>A</w:t>
            </w:r>
          </w:p>
        </w:tc>
        <w:tc>
          <w:tcPr>
            <w:tcW w:type="dxa" w:w="1296"/>
          </w:tcPr>
          <w:p>
            <w:pPr>
              <w:keepNext w:val="0"/>
              <w:spacing w:before="40" w:after="40" w:line="240" w:lineRule="auto"/>
            </w:pPr>
            <w:r>
              <w:rPr>
                <w:rFonts w:ascii="Arial" w:hAnsi="Arial" w:cs="Arial" w:eastAsia="Arial"/>
                <w:b w:val="0"/>
                <w:i w:val="0"/>
                <w:sz w:val="18"/>
              </w:rPr>
              <w:t>R</w:t>
            </w:r>
          </w:p>
        </w:tc>
        <w:tc>
          <w:tcPr>
            <w:tcW w:type="dxa" w:w="1008"/>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R</w:t>
            </w:r>
          </w:p>
        </w:tc>
        <w:tc>
          <w:tcPr>
            <w:tcW w:type="dxa" w:w="720"/>
          </w:tcPr>
          <w:p>
            <w:pPr>
              <w:keepNext w:val="0"/>
              <w:spacing w:before="40" w:after="40" w:line="240" w:lineRule="auto"/>
            </w:pPr>
            <w:r>
              <w:rPr>
                <w:rFonts w:ascii="Arial" w:hAnsi="Arial" w:cs="Arial" w:eastAsia="Arial"/>
                <w:b w:val="0"/>
                <w:i w:val="0"/>
                <w:sz w:val="18"/>
              </w:rPr>
              <w:t>R</w:t>
            </w:r>
          </w:p>
        </w:tc>
      </w:tr>
    </w:tbl>
    <w:p>
      <w:pPr>
        <w:keepNext w:val="0"/>
        <w:spacing w:before="0" w:after="80" w:line="240" w:lineRule="auto"/>
      </w:pPr>
    </w:p>
    <w:p>
      <w:pPr>
        <w:keepNext w:val="0"/>
        <w:spacing w:before="0" w:after="120" w:line="276" w:lineRule="auto"/>
      </w:pPr>
      <w:r>
        <w:rPr>
          <w:rFonts w:ascii="Arial" w:hAnsi="Arial" w:cs="Arial" w:eastAsia="Arial"/>
          <w:b w:val="0"/>
          <w:i/>
          <w:color w:val="5B6678"/>
          <w:sz w:val="19"/>
        </w:rPr>
        <w:t>Guidance: Adjust the table so that every activity has exactly one A.</w:t>
      </w:r>
    </w:p>
    <w:p>
      <w:pPr>
        <w:keepNext/>
        <w:spacing w:before="280" w:after="120" w:line="264" w:lineRule="auto"/>
      </w:pPr>
      <w:r>
        <w:rPr>
          <w:rFonts w:ascii="Arial" w:hAnsi="Arial" w:cs="Arial" w:eastAsia="Arial"/>
          <w:b/>
          <w:i w:val="0"/>
          <w:color w:val="1B253B"/>
          <w:sz w:val="28"/>
        </w:rPr>
        <w:t>6. Reporting</w:t>
      </w:r>
    </w:p>
    <w:p>
      <w:pPr>
        <w:keepNext w:val="0"/>
        <w:spacing w:before="0" w:after="120" w:line="276" w:lineRule="auto"/>
      </w:pPr>
      <w:r>
        <w:rPr>
          <w:rFonts w:ascii="Arial" w:hAnsi="Arial" w:cs="Arial" w:eastAsia="Arial"/>
          <w:b w:val="0"/>
          <w:i w:val="0"/>
          <w:sz w:val="21"/>
        </w:rPr>
        <w:t xml:space="preserve">The ISMS Manager reports on the performance of the ISMS to top management </w:t>
      </w:r>
      <w:sdt>
        <w:sdtPr>
          <w:alias w:val="How often the ISMS Manager reports to top management"/>
          <w:tag w:val="reporting_frequency"/>
        </w:sdtPr>
        <w:sdtContent>
          <w:r>
            <w:rPr>
              <w:rFonts w:ascii="Arial" w:hAnsi="Arial" w:cs="Arial" w:eastAsia="Arial"/>
              <w:b w:val="0"/>
              <w:i w:val="0"/>
              <w:sz w:val="21"/>
              <w:highlight w:val="yellow"/>
            </w:rPr>
            <w:t>&lt;monthly / quarterly&gt;</w:t>
          </w:r>
        </w:sdtContent>
      </w:sdt>
      <w:r>
        <w:rPr>
          <w:rFonts w:ascii="Arial" w:hAnsi="Arial" w:cs="Arial" w:eastAsia="Arial"/>
          <w:b w:val="0"/>
          <w:i w:val="0"/>
          <w:sz w:val="21"/>
        </w:rPr>
        <w:t>, and at the management review. The report covers objectives, risks, incidents, audit results, open actions and any need for resources. Incidents are reported immediately, as set out in the incident management procedure.</w:t>
      </w:r>
    </w:p>
    <w:p>
      <w:pPr>
        <w:keepNext/>
        <w:spacing w:before="280" w:after="120" w:line="264" w:lineRule="auto"/>
      </w:pPr>
      <w:r>
        <w:rPr>
          <w:rFonts w:ascii="Arial" w:hAnsi="Arial" w:cs="Arial" w:eastAsia="Arial"/>
          <w:b/>
          <w:i w:val="0"/>
          <w:color w:val="1B253B"/>
          <w:sz w:val="28"/>
        </w:rPr>
        <w:t>7. Absence and changes</w:t>
      </w:r>
    </w:p>
    <w:p>
      <w:pPr>
        <w:keepNext w:val="0"/>
        <w:spacing w:before="0" w:after="120" w:line="276" w:lineRule="auto"/>
      </w:pPr>
      <w:r>
        <w:rPr>
          <w:rFonts w:ascii="Arial" w:hAnsi="Arial" w:cs="Arial" w:eastAsia="Arial"/>
          <w:b w:val="0"/>
          <w:i w:val="0"/>
          <w:sz w:val="21"/>
        </w:rPr>
        <w:t>Each role has a deputy, named above, who takes on its responsibilities when the holder is absent. When somebody takes on or hands over a role, the ISMS Manager updates this document and tells those affected.</w:t>
      </w:r>
    </w:p>
    <w:p>
      <w:pPr>
        <w:keepNext/>
        <w:spacing w:before="280" w:after="120" w:line="264" w:lineRule="auto"/>
      </w:pPr>
      <w:r>
        <w:rPr>
          <w:rFonts w:ascii="Arial" w:hAnsi="Arial" w:cs="Arial" w:eastAsia="Arial"/>
          <w:b/>
          <w:i w:val="0"/>
          <w:color w:val="1B253B"/>
          <w:sz w:val="28"/>
        </w:rPr>
        <w:t>8. Communication and review</w:t>
      </w:r>
    </w:p>
    <w:p>
      <w:pPr>
        <w:keepNext w:val="0"/>
        <w:spacing w:before="0" w:after="120" w:line="276" w:lineRule="auto"/>
      </w:pPr>
      <w:r>
        <w:rPr>
          <w:rFonts w:ascii="Arial" w:hAnsi="Arial" w:cs="Arial" w:eastAsia="Arial"/>
          <w:b w:val="0"/>
          <w:i w:val="0"/>
          <w:sz w:val="21"/>
        </w:rPr>
        <w:t xml:space="preserve">This document is published to all personnel on </w:t>
      </w:r>
      <w:sdt>
        <w:sdtPr>
          <w:alias w:val="Where staff can read the policies"/>
          <w:tag w:val="publish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 xml:space="preserve"> and each person is told of the responsibilities that apply to them. It is reviewed at least once a year and whenever the organisation's structure changes.</w:t>
      </w: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Roles, Responsibilities and Authorities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Roles, Responsibilities and Authorities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