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an ISO/IEC 27001:2022 information security management system (ISMS).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ISO/IEC 27001 or any law.</w:t>
      </w:r>
    </w:p>
    <w:p>
      <w:r>
        <w:br w:type="page"/>
      </w:r>
    </w:p>
    <w:p>
      <w:pPr>
        <w:keepNext w:val="0"/>
        <w:spacing w:before="0" w:after="80" w:line="240" w:lineRule="auto"/>
      </w:pPr>
      <w:r>
        <w:rPr>
          <w:rFonts w:ascii="Arial" w:hAnsi="Arial" w:cs="Arial" w:eastAsia="Arial"/>
          <w:b/>
          <w:i w:val="0"/>
          <w:color w:val="1B253B"/>
          <w:sz w:val="44"/>
        </w:rPr>
        <w:t>Procedure for Management Review</w:t>
      </w:r>
    </w:p>
    <w:p>
      <w:pPr>
        <w:keepNext w:val="0"/>
        <w:spacing w:before="0" w:after="200" w:line="240" w:lineRule="auto"/>
      </w:pPr>
      <w:r>
        <w:rPr>
          <w:rFonts w:ascii="Arial" w:hAnsi="Arial" w:cs="Arial" w:eastAsia="Arial"/>
          <w:b w:val="0"/>
          <w:i w:val="0"/>
          <w:color w:val="5B6678"/>
          <w:sz w:val="21"/>
        </w:rPr>
        <w:t>How top management reviews the ISMS, what it looks at and what it decides.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ISMS-08</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procedure describes how top management of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xml:space="preserve"> reviews the information security management system (ISMS) at planned intervals to make sure it stays suitable, adequate and effective, as ISO/IEC 27001:2022, clause 9.3, requires. The review is where top management sees how the ISMS is performing and decides what to change and what to provide.</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It covers the whole ISMS described in the Scope of the ISMS (ISMS-01).</w:t>
      </w:r>
    </w:p>
    <w:p>
      <w:pPr>
        <w:keepNext/>
        <w:spacing w:before="280" w:after="120" w:line="264" w:lineRule="auto"/>
      </w:pPr>
      <w:r>
        <w:rPr>
          <w:rFonts w:ascii="Arial" w:hAnsi="Arial" w:cs="Arial" w:eastAsia="Arial"/>
          <w:b/>
          <w:i w:val="0"/>
          <w:color w:val="1B253B"/>
          <w:sz w:val="28"/>
        </w:rPr>
        <w:t>3. When and who</w:t>
      </w:r>
    </w:p>
    <w:p>
      <w:pPr>
        <w:pStyle w:val="ListBullet"/>
        <w:keepNext w:val="0"/>
        <w:spacing w:before="0" w:after="60" w:line="276" w:lineRule="auto"/>
        <w:ind w:left="432" w:hanging="288"/>
      </w:pPr>
      <w:r>
        <w:rPr>
          <w:rFonts w:ascii="Arial" w:hAnsi="Arial" w:cs="Arial" w:eastAsia="Arial"/>
          <w:b w:val="0"/>
          <w:i w:val="0"/>
          <w:sz w:val="21"/>
        </w:rPr>
        <w:t xml:space="preserve">The management review is held at least </w:t>
      </w:r>
      <w:sdt>
        <w:sdtPr>
          <w:alias w:val="Management review held at least"/>
          <w:tag w:val="08.frequency"/>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xml:space="preserve">, and </w:t>
      </w:r>
      <w:sdt>
        <w:sdtPr>
          <w:alias w:val="... and more often while the ISMS is new"/>
          <w:tag w:val="08.frequency_new"/>
        </w:sdtPr>
        <w:sdtContent>
          <w:r>
            <w:rPr>
              <w:rFonts w:ascii="Arial" w:hAnsi="Arial" w:cs="Arial" w:eastAsia="Arial"/>
              <w:b w:val="0"/>
              <w:i w:val="0"/>
              <w:sz w:val="21"/>
              <w:highlight w:val="yellow"/>
            </w:rPr>
            <w:t>&lt;quarterly&gt;</w:t>
          </w:r>
        </w:sdtContent>
      </w:sdt>
      <w:r>
        <w:rPr>
          <w:rFonts w:ascii="Arial" w:hAnsi="Arial" w:cs="Arial" w:eastAsia="Arial"/>
          <w:b w:val="0"/>
          <w:i w:val="0"/>
          <w:sz w:val="21"/>
        </w:rPr>
        <w:t xml:space="preserve"> where the ISMS is new or changing quickly. An extra review is held after a serious incident or a major change.</w:t>
      </w:r>
    </w:p>
    <w:p>
      <w:pPr>
        <w:pStyle w:val="ListBullet"/>
        <w:keepNext w:val="0"/>
        <w:spacing w:before="0" w:after="60" w:line="276" w:lineRule="auto"/>
        <w:ind w:left="432" w:hanging="288"/>
      </w:pPr>
      <w:r>
        <w:rPr>
          <w:rFonts w:ascii="Arial" w:hAnsi="Arial" w:cs="Arial" w:eastAsia="Arial"/>
          <w:b/>
          <w:i w:val="0"/>
          <w:sz w:val="21"/>
        </w:rPr>
        <w:t>Chair:</w:t>
      </w:r>
      <w:r>
        <w:rPr>
          <w:rFonts w:ascii="Arial" w:hAnsi="Arial" w:cs="Arial" w:eastAsia="Arial"/>
          <w:b w:val="0"/>
          <w:i w:val="0"/>
          <w:sz w:val="21"/>
        </w:rPr>
        <w:t xml:space="preserve"> </w:t>
      </w:r>
      <w:sdt>
        <w:sdtPr>
          <w:alias w:val="Who chairs the management review"/>
          <w:tag w:val="08.chair"/>
        </w:sdtPr>
        <w:sdtContent>
          <w:r>
            <w:rPr>
              <w:rFonts w:ascii="Arial" w:hAnsi="Arial" w:cs="Arial" w:eastAsia="Arial"/>
              <w:b w:val="0"/>
              <w:i w:val="0"/>
              <w:sz w:val="21"/>
              <w:highlight w:val="yellow"/>
            </w:rPr>
            <w:t>&lt;role, a member of top management&gt;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i w:val="0"/>
          <w:sz w:val="21"/>
        </w:rPr>
        <w:t>Attendees:</w:t>
      </w:r>
      <w:r>
        <w:rPr>
          <w:rFonts w:ascii="Arial" w:hAnsi="Arial" w:cs="Arial" w:eastAsia="Arial"/>
          <w:b w:val="0"/>
          <w:i w:val="0"/>
          <w:sz w:val="21"/>
        </w:rPr>
        <w:t xml:space="preserve"> top management, the ISMS Manager, and the heads of </w:t>
      </w:r>
      <w:sdt>
        <w:sdtPr>
          <w:alias w:val="Heads of department who attend"/>
          <w:tag w:val="08.heads"/>
        </w:sdtPr>
        <w:sdtContent>
          <w:r>
            <w:rPr>
              <w:rFonts w:ascii="Arial" w:hAnsi="Arial" w:cs="Arial" w:eastAsia="Arial"/>
              <w:b w:val="0"/>
              <w:i w:val="0"/>
              <w:sz w:val="21"/>
              <w:highlight w:val="yellow"/>
            </w:rPr>
            <w:t>&lt;IT, HR, legal or privacy, and operations&gt;</w:t>
          </w:r>
        </w:sdtContent>
      </w:sdt>
      <w:r>
        <w:rPr>
          <w:rFonts w:ascii="Arial" w:hAnsi="Arial" w:cs="Arial" w:eastAsia="Arial"/>
          <w:b w:val="0"/>
          <w:i w:val="0"/>
          <w:sz w:val="21"/>
        </w:rPr>
        <w:t>. Others are invited when their area is discussed.</w:t>
      </w:r>
    </w:p>
    <w:p>
      <w:pPr>
        <w:pStyle w:val="ListBullet"/>
        <w:keepNext w:val="0"/>
        <w:spacing w:before="0" w:after="60" w:line="276" w:lineRule="auto"/>
        <w:ind w:left="432" w:hanging="288"/>
      </w:pPr>
      <w:r>
        <w:rPr>
          <w:rFonts w:ascii="Arial" w:hAnsi="Arial" w:cs="Arial" w:eastAsia="Arial"/>
          <w:b w:val="0"/>
          <w:i w:val="0"/>
          <w:sz w:val="21"/>
        </w:rPr>
        <w:t xml:space="preserve">A quorum is </w:t>
      </w:r>
      <w:sdt>
        <w:sdtPr>
          <w:alias w:val="Quorum"/>
          <w:tag w:val="08.quorum"/>
        </w:sdtPr>
        <w:sdtContent>
          <w:r>
            <w:rPr>
              <w:rFonts w:ascii="Arial" w:hAnsi="Arial" w:cs="Arial" w:eastAsia="Arial"/>
              <w:b w:val="0"/>
              <w:i w:val="0"/>
              <w:sz w:val="21"/>
              <w:highlight w:val="yellow"/>
            </w:rPr>
            <w:t>&lt;the chair and at least two other members of top management&gt;</w:t>
          </w:r>
        </w:sdtContent>
      </w:sdt>
      <w:r>
        <w:rPr>
          <w:rFonts w:ascii="Arial" w:hAnsi="Arial" w:cs="Arial" w:eastAsia="Arial"/>
          <w:b w:val="0"/>
          <w:i w:val="0"/>
          <w:sz w:val="21"/>
        </w:rPr>
        <w: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Preparation</w:t>
      </w:r>
    </w:p>
    <w:p>
      <w:pPr>
        <w:keepNext w:val="0"/>
        <w:spacing w:before="0" w:after="60" w:line="276" w:lineRule="auto"/>
        <w:ind w:left="504" w:hanging="403"/>
      </w:pPr>
      <w:r>
        <w:rPr>
          <w:rFonts w:ascii="Arial" w:hAnsi="Arial" w:cs="Arial" w:eastAsia="Arial"/>
          <w:b w:val="0"/>
          <w:i w:val="0"/>
          <w:sz w:val="21"/>
        </w:rPr>
        <w:t xml:space="preserve">1.  The ISMS Manager sets the date at least </w:t>
      </w:r>
      <w:sdt>
        <w:sdtPr>
          <w:alias w:val="Date set this many weeks ahead"/>
          <w:tag w:val="08.notice"/>
        </w:sdtPr>
        <w:sdtContent>
          <w:r>
            <w:rPr>
              <w:rFonts w:ascii="Arial" w:hAnsi="Arial" w:cs="Arial" w:eastAsia="Arial"/>
              <w:b w:val="0"/>
              <w:i w:val="0"/>
              <w:sz w:val="21"/>
              <w:highlight w:val="yellow"/>
            </w:rPr>
            <w:t>&lt;four&gt;</w:t>
          </w:r>
        </w:sdtContent>
      </w:sdt>
      <w:r>
        <w:rPr>
          <w:rFonts w:ascii="Arial" w:hAnsi="Arial" w:cs="Arial" w:eastAsia="Arial"/>
          <w:b w:val="0"/>
          <w:i w:val="0"/>
          <w:sz w:val="21"/>
        </w:rPr>
        <w:t xml:space="preserve"> weeks ahead and sends the agenda.</w:t>
      </w:r>
    </w:p>
    <w:p>
      <w:pPr>
        <w:keepNext w:val="0"/>
        <w:spacing w:before="0" w:after="60" w:line="276" w:lineRule="auto"/>
        <w:ind w:left="504" w:hanging="403"/>
      </w:pPr>
      <w:r>
        <w:rPr>
          <w:rFonts w:ascii="Arial" w:hAnsi="Arial" w:cs="Arial" w:eastAsia="Arial"/>
          <w:b w:val="0"/>
          <w:i w:val="0"/>
          <w:sz w:val="21"/>
        </w:rPr>
        <w:t xml:space="preserve">2.  The ISMS Manager collects the inputs listed in section 5 and prepares a review pack, which reaches attendees at least </w:t>
      </w:r>
      <w:sdt>
        <w:sdtPr>
          <w:alias w:val="Review pack sent this many working days before"/>
          <w:tag w:val="08.pack_days"/>
        </w:sdtPr>
        <w:sdtContent>
          <w:r>
            <w:rPr>
              <w:rFonts w:ascii="Arial" w:hAnsi="Arial" w:cs="Arial" w:eastAsia="Arial"/>
              <w:b w:val="0"/>
              <w:i w:val="0"/>
              <w:sz w:val="21"/>
              <w:highlight w:val="yellow"/>
            </w:rPr>
            <w:t>&lt;five&gt;</w:t>
          </w:r>
        </w:sdtContent>
      </w:sdt>
      <w:r>
        <w:rPr>
          <w:rFonts w:ascii="Arial" w:hAnsi="Arial" w:cs="Arial" w:eastAsia="Arial"/>
          <w:b w:val="0"/>
          <w:i w:val="0"/>
          <w:sz w:val="21"/>
        </w:rPr>
        <w:t xml:space="preserve"> working days before the meeting.</w:t>
      </w:r>
    </w:p>
    <w:p>
      <w:pPr>
        <w:keepNext w:val="0"/>
        <w:spacing w:before="0" w:after="60" w:line="276" w:lineRule="auto"/>
        <w:ind w:left="504" w:hanging="403"/>
      </w:pPr>
      <w:r>
        <w:rPr>
          <w:rFonts w:ascii="Arial" w:hAnsi="Arial" w:cs="Arial" w:eastAsia="Arial"/>
          <w:b w:val="0"/>
          <w:i w:val="0"/>
          <w:sz w:val="21"/>
        </w:rPr>
        <w:t>3.  Owners of open actions report their status in the pack.</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Inputs to the review</w:t>
      </w:r>
    </w:p>
    <w:p>
      <w:pPr>
        <w:keepNext w:val="0"/>
        <w:spacing w:before="0" w:after="120" w:line="276" w:lineRule="auto"/>
      </w:pPr>
      <w:r>
        <w:rPr>
          <w:rFonts w:ascii="Arial" w:hAnsi="Arial" w:cs="Arial" w:eastAsia="Arial"/>
          <w:b w:val="0"/>
          <w:i w:val="0"/>
          <w:sz w:val="21"/>
        </w:rPr>
        <w:t>The review must cover each of these. The review pack has a section for each.</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3600"/>
            <w:shd w:val="clear" w:color="auto" w:fill="DCE6F5"/>
          </w:tcPr>
          <w:p>
            <w:pPr>
              <w:keepNext w:val="0"/>
              <w:spacing w:before="40" w:after="40" w:line="240" w:lineRule="auto"/>
            </w:pPr>
            <w:r>
              <w:rPr>
                <w:rFonts w:ascii="Arial" w:hAnsi="Arial" w:cs="Arial" w:eastAsia="Arial"/>
                <w:b/>
                <w:i w:val="0"/>
                <w:color w:val="1B253B"/>
                <w:sz w:val="18"/>
              </w:rPr>
              <w:t>Input</w:t>
            </w:r>
          </w:p>
        </w:tc>
        <w:tc>
          <w:tcPr>
            <w:tcW w:type="dxa" w:w="3888"/>
            <w:shd w:val="clear" w:color="auto" w:fill="DCE6F5"/>
          </w:tcPr>
          <w:p>
            <w:pPr>
              <w:keepNext w:val="0"/>
              <w:spacing w:before="40" w:after="40" w:line="240" w:lineRule="auto"/>
            </w:pPr>
            <w:r>
              <w:rPr>
                <w:rFonts w:ascii="Arial" w:hAnsi="Arial" w:cs="Arial" w:eastAsia="Arial"/>
                <w:b/>
                <w:i w:val="0"/>
                <w:color w:val="1B253B"/>
                <w:sz w:val="18"/>
              </w:rPr>
              <w:t>What to bring</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Source</w:t>
            </w:r>
          </w:p>
        </w:tc>
      </w:tr>
      <w:tr>
        <w:trPr>
          <w:cantSplit w:val="true"/>
        </w:trPr>
        <w:tc>
          <w:tcPr>
            <w:tcW w:type="dxa" w:w="3600"/>
          </w:tcPr>
          <w:p>
            <w:pPr>
              <w:keepNext w:val="0"/>
              <w:spacing w:before="40" w:after="40" w:line="240" w:lineRule="auto"/>
            </w:pPr>
            <w:r>
              <w:rPr>
                <w:rFonts w:ascii="Arial" w:hAnsi="Arial" w:cs="Arial" w:eastAsia="Arial"/>
                <w:b w:val="0"/>
                <w:i w:val="0"/>
                <w:sz w:val="18"/>
              </w:rPr>
              <w:t>a) The status of actions from earlier reviews</w:t>
            </w:r>
          </w:p>
        </w:tc>
        <w:tc>
          <w:tcPr>
            <w:tcW w:type="dxa" w:w="3888"/>
          </w:tcPr>
          <w:p>
            <w:pPr>
              <w:keepNext w:val="0"/>
              <w:spacing w:before="40" w:after="40" w:line="240" w:lineRule="auto"/>
            </w:pPr>
            <w:r>
              <w:rPr>
                <w:rFonts w:ascii="Arial" w:hAnsi="Arial" w:cs="Arial" w:eastAsia="Arial"/>
                <w:b w:val="0"/>
                <w:i w:val="0"/>
                <w:sz w:val="18"/>
              </w:rPr>
              <w:t>Each action, its owner, its due date and whether it is done</w:t>
            </w:r>
          </w:p>
        </w:tc>
        <w:tc>
          <w:tcPr>
            <w:tcW w:type="dxa" w:w="1728"/>
          </w:tcPr>
          <w:p>
            <w:pPr>
              <w:keepNext w:val="0"/>
              <w:spacing w:before="40" w:after="40" w:line="240" w:lineRule="auto"/>
            </w:pPr>
            <w:sdt>
              <w:sdtPr>
                <w:alias w:val="Previous minutes"/>
                <w:tag w:val="08.t3.r0.c2"/>
              </w:sdtPr>
              <w:sdtContent>
                <w:r>
                  <w:rPr>
                    <w:rFonts w:ascii="Arial" w:hAnsi="Arial" w:cs="Arial" w:eastAsia="Arial"/>
                    <w:b w:val="0"/>
                    <w:i w:val="0"/>
                    <w:sz w:val="18"/>
                    <w:highlight w:val="yellow"/>
                  </w:rPr>
                  <w:t>&lt;Previous minutes&gt;</w:t>
                </w:r>
              </w:sdtContent>
            </w:sdt>
          </w:p>
        </w:tc>
      </w:tr>
      <w:tr>
        <w:trPr>
          <w:cantSplit w:val="true"/>
        </w:trPr>
        <w:tc>
          <w:tcPr>
            <w:tcW w:type="dxa" w:w="3600"/>
          </w:tcPr>
          <w:p>
            <w:pPr>
              <w:keepNext w:val="0"/>
              <w:spacing w:before="40" w:after="40" w:line="240" w:lineRule="auto"/>
            </w:pPr>
            <w:r>
              <w:rPr>
                <w:rFonts w:ascii="Arial" w:hAnsi="Arial" w:cs="Arial" w:eastAsia="Arial"/>
                <w:b w:val="0"/>
                <w:i w:val="0"/>
                <w:sz w:val="18"/>
              </w:rPr>
              <w:t>b) Changes in external and internal issues that matter to the ISMS</w:t>
            </w:r>
          </w:p>
        </w:tc>
        <w:tc>
          <w:tcPr>
            <w:tcW w:type="dxa" w:w="3888"/>
          </w:tcPr>
          <w:p>
            <w:pPr>
              <w:keepNext w:val="0"/>
              <w:spacing w:before="40" w:after="40" w:line="240" w:lineRule="auto"/>
            </w:pPr>
            <w:r>
              <w:rPr>
                <w:rFonts w:ascii="Arial" w:hAnsi="Arial" w:cs="Arial" w:eastAsia="Arial"/>
                <w:b w:val="0"/>
                <w:i w:val="0"/>
                <w:sz w:val="18"/>
              </w:rPr>
              <w:t>New laws, threats, customers, technology, structure, locations</w:t>
            </w:r>
          </w:p>
        </w:tc>
        <w:tc>
          <w:tcPr>
            <w:tcW w:type="dxa" w:w="1728"/>
          </w:tcPr>
          <w:p>
            <w:pPr>
              <w:keepNext w:val="0"/>
              <w:spacing w:before="40" w:after="40" w:line="240" w:lineRule="auto"/>
            </w:pPr>
            <w:sdt>
              <w:sdtPr>
                <w:alias w:val="Context review"/>
                <w:tag w:val="08.t3.r1.c2"/>
              </w:sdtPr>
              <w:sdtContent>
                <w:r>
                  <w:rPr>
                    <w:rFonts w:ascii="Arial" w:hAnsi="Arial" w:cs="Arial" w:eastAsia="Arial"/>
                    <w:b w:val="0"/>
                    <w:i w:val="0"/>
                    <w:sz w:val="18"/>
                    <w:highlight w:val="yellow"/>
                  </w:rPr>
                  <w:t>&lt;Context review&gt;</w:t>
                </w:r>
              </w:sdtContent>
            </w:sdt>
          </w:p>
        </w:tc>
      </w:tr>
      <w:tr>
        <w:trPr>
          <w:cantSplit w:val="true"/>
        </w:trPr>
        <w:tc>
          <w:tcPr>
            <w:tcW w:type="dxa" w:w="3600"/>
          </w:tcPr>
          <w:p>
            <w:pPr>
              <w:keepNext w:val="0"/>
              <w:spacing w:before="40" w:after="40" w:line="240" w:lineRule="auto"/>
            </w:pPr>
            <w:r>
              <w:rPr>
                <w:rFonts w:ascii="Arial" w:hAnsi="Arial" w:cs="Arial" w:eastAsia="Arial"/>
                <w:b w:val="0"/>
                <w:i w:val="0"/>
                <w:sz w:val="18"/>
              </w:rPr>
              <w:t>c) Changes in the needs and expectations of interested parties</w:t>
            </w:r>
          </w:p>
        </w:tc>
        <w:tc>
          <w:tcPr>
            <w:tcW w:type="dxa" w:w="3888"/>
          </w:tcPr>
          <w:p>
            <w:pPr>
              <w:keepNext w:val="0"/>
              <w:spacing w:before="40" w:after="40" w:line="240" w:lineRule="auto"/>
            </w:pPr>
            <w:r>
              <w:rPr>
                <w:rFonts w:ascii="Arial" w:hAnsi="Arial" w:cs="Arial" w:eastAsia="Arial"/>
                <w:b w:val="0"/>
                <w:i w:val="0"/>
                <w:sz w:val="18"/>
              </w:rPr>
              <w:t>New customer or regulator requirements, complaints, contract changes</w:t>
            </w:r>
          </w:p>
        </w:tc>
        <w:tc>
          <w:tcPr>
            <w:tcW w:type="dxa" w:w="1728"/>
          </w:tcPr>
          <w:p>
            <w:pPr>
              <w:keepNext w:val="0"/>
              <w:spacing w:before="40" w:after="40" w:line="240" w:lineRule="auto"/>
            </w:pPr>
            <w:sdt>
              <w:sdtPr>
                <w:alias w:val="Register of requirements, ISMS-12"/>
                <w:tag w:val="08.t3.r2.c2"/>
              </w:sdtPr>
              <w:sdtContent>
                <w:r>
                  <w:rPr>
                    <w:rFonts w:ascii="Arial" w:hAnsi="Arial" w:cs="Arial" w:eastAsia="Arial"/>
                    <w:b w:val="0"/>
                    <w:i w:val="0"/>
                    <w:sz w:val="18"/>
                    <w:highlight w:val="yellow"/>
                  </w:rPr>
                  <w:t>&lt;Register of requirements, ISMS-12&gt;</w:t>
                </w:r>
              </w:sdtContent>
            </w:sdt>
          </w:p>
        </w:tc>
      </w:tr>
      <w:tr>
        <w:trPr>
          <w:cantSplit w:val="true"/>
        </w:trPr>
        <w:tc>
          <w:tcPr>
            <w:tcW w:type="dxa" w:w="3600"/>
          </w:tcPr>
          <w:p>
            <w:pPr>
              <w:keepNext w:val="0"/>
              <w:spacing w:before="40" w:after="40" w:line="240" w:lineRule="auto"/>
            </w:pPr>
            <w:r>
              <w:rPr>
                <w:rFonts w:ascii="Arial" w:hAnsi="Arial" w:cs="Arial" w:eastAsia="Arial"/>
                <w:b w:val="0"/>
                <w:i w:val="0"/>
                <w:sz w:val="18"/>
              </w:rPr>
              <w:t>d) Information security performance, including trends in:</w:t>
            </w:r>
          </w:p>
        </w:tc>
        <w:tc>
          <w:tcPr>
            <w:tcW w:type="dxa" w:w="3888"/>
          </w:tcPr>
          <w:p>
            <w:pPr>
              <w:keepNext w:val="0"/>
              <w:spacing w:before="40" w:after="40" w:line="240" w:lineRule="auto"/>
            </w:pPr>
          </w:p>
        </w:tc>
        <w:tc>
          <w:tcPr>
            <w:tcW w:type="dxa" w:w="1728"/>
          </w:tcPr>
          <w:p>
            <w:pPr>
              <w:keepNext w:val="0"/>
              <w:spacing w:before="40" w:after="40" w:line="240" w:lineRule="auto"/>
            </w:pPr>
          </w:p>
        </w:tc>
      </w:tr>
      <w:tr>
        <w:trPr>
          <w:cantSplit w:val="true"/>
        </w:trPr>
        <w:tc>
          <w:tcPr>
            <w:tcW w:type="dxa" w:w="3600"/>
          </w:tcPr>
          <w:p>
            <w:pPr>
              <w:keepNext w:val="0"/>
              <w:spacing w:before="40" w:after="40" w:line="240" w:lineRule="auto"/>
            </w:pPr>
            <w:r>
              <w:rPr>
                <w:rFonts w:ascii="Arial" w:hAnsi="Arial" w:cs="Arial" w:eastAsia="Arial"/>
                <w:b w:val="0"/>
                <w:i w:val="0"/>
                <w:sz w:val="18"/>
              </w:rPr>
              <w:t xml:space="preserve">   1. Nonconformities and corrective actions</w:t>
            </w:r>
          </w:p>
        </w:tc>
        <w:tc>
          <w:tcPr>
            <w:tcW w:type="dxa" w:w="3888"/>
          </w:tcPr>
          <w:p>
            <w:pPr>
              <w:keepNext w:val="0"/>
              <w:spacing w:before="40" w:after="40" w:line="240" w:lineRule="auto"/>
            </w:pPr>
            <w:r>
              <w:rPr>
                <w:rFonts w:ascii="Arial" w:hAnsi="Arial" w:cs="Arial" w:eastAsia="Arial"/>
                <w:b w:val="0"/>
                <w:i w:val="0"/>
                <w:sz w:val="18"/>
              </w:rPr>
              <w:t>Number, causes, time to close, repeat issues</w:t>
            </w:r>
          </w:p>
        </w:tc>
        <w:tc>
          <w:tcPr>
            <w:tcW w:type="dxa" w:w="1728"/>
          </w:tcPr>
          <w:p>
            <w:pPr>
              <w:keepNext w:val="0"/>
              <w:spacing w:before="40" w:after="40" w:line="240" w:lineRule="auto"/>
            </w:pPr>
            <w:sdt>
              <w:sdtPr>
                <w:alias w:val="Corrective action log"/>
                <w:tag w:val="08.t3.r4.c2"/>
              </w:sdtPr>
              <w:sdtContent>
                <w:r>
                  <w:rPr>
                    <w:rFonts w:ascii="Arial" w:hAnsi="Arial" w:cs="Arial" w:eastAsia="Arial"/>
                    <w:b w:val="0"/>
                    <w:i w:val="0"/>
                    <w:sz w:val="18"/>
                    <w:highlight w:val="yellow"/>
                  </w:rPr>
                  <w:t>&lt;Corrective action log&gt;</w:t>
                </w:r>
              </w:sdtContent>
            </w:sdt>
          </w:p>
        </w:tc>
      </w:tr>
      <w:tr>
        <w:trPr>
          <w:cantSplit w:val="true"/>
        </w:trPr>
        <w:tc>
          <w:tcPr>
            <w:tcW w:type="dxa" w:w="3600"/>
          </w:tcPr>
          <w:p>
            <w:pPr>
              <w:keepNext w:val="0"/>
              <w:spacing w:before="40" w:after="40" w:line="240" w:lineRule="auto"/>
            </w:pPr>
            <w:r>
              <w:rPr>
                <w:rFonts w:ascii="Arial" w:hAnsi="Arial" w:cs="Arial" w:eastAsia="Arial"/>
                <w:b w:val="0"/>
                <w:i w:val="0"/>
                <w:sz w:val="18"/>
              </w:rPr>
              <w:t xml:space="preserve">   2. Monitoring and measurement results</w:t>
            </w:r>
          </w:p>
        </w:tc>
        <w:tc>
          <w:tcPr>
            <w:tcW w:type="dxa" w:w="3888"/>
          </w:tcPr>
          <w:p>
            <w:pPr>
              <w:keepNext w:val="0"/>
              <w:spacing w:before="40" w:after="40" w:line="240" w:lineRule="auto"/>
            </w:pPr>
            <w:r>
              <w:rPr>
                <w:rFonts w:ascii="Arial" w:hAnsi="Arial" w:cs="Arial" w:eastAsia="Arial"/>
                <w:b w:val="0"/>
                <w:i w:val="0"/>
                <w:sz w:val="18"/>
              </w:rPr>
              <w:t>Performance against each measure, with trends</w:t>
            </w:r>
          </w:p>
        </w:tc>
        <w:tc>
          <w:tcPr>
            <w:tcW w:type="dxa" w:w="1728"/>
          </w:tcPr>
          <w:p>
            <w:pPr>
              <w:keepNext w:val="0"/>
              <w:spacing w:before="40" w:after="40" w:line="240" w:lineRule="auto"/>
            </w:pPr>
            <w:sdt>
              <w:sdtPr>
                <w:alias w:val="Objectives plan, ISMS-10"/>
                <w:tag w:val="08.t3.r5.c2"/>
              </w:sdtPr>
              <w:sdtContent>
                <w:r>
                  <w:rPr>
                    <w:rFonts w:ascii="Arial" w:hAnsi="Arial" w:cs="Arial" w:eastAsia="Arial"/>
                    <w:b w:val="0"/>
                    <w:i w:val="0"/>
                    <w:sz w:val="18"/>
                    <w:highlight w:val="yellow"/>
                  </w:rPr>
                  <w:t>&lt;Objectives plan, ISMS-10&gt;</w:t>
                </w:r>
              </w:sdtContent>
            </w:sdt>
          </w:p>
        </w:tc>
      </w:tr>
      <w:tr>
        <w:trPr>
          <w:cantSplit w:val="true"/>
        </w:trPr>
        <w:tc>
          <w:tcPr>
            <w:tcW w:type="dxa" w:w="3600"/>
          </w:tcPr>
          <w:p>
            <w:pPr>
              <w:keepNext w:val="0"/>
              <w:spacing w:before="40" w:after="40" w:line="240" w:lineRule="auto"/>
            </w:pPr>
            <w:r>
              <w:rPr>
                <w:rFonts w:ascii="Arial" w:hAnsi="Arial" w:cs="Arial" w:eastAsia="Arial"/>
                <w:b w:val="0"/>
                <w:i w:val="0"/>
                <w:sz w:val="18"/>
              </w:rPr>
              <w:t xml:space="preserve">   3. Audit results</w:t>
            </w:r>
          </w:p>
        </w:tc>
        <w:tc>
          <w:tcPr>
            <w:tcW w:type="dxa" w:w="3888"/>
          </w:tcPr>
          <w:p>
            <w:pPr>
              <w:keepNext w:val="0"/>
              <w:spacing w:before="40" w:after="40" w:line="240" w:lineRule="auto"/>
            </w:pPr>
            <w:r>
              <w:rPr>
                <w:rFonts w:ascii="Arial" w:hAnsi="Arial" w:cs="Arial" w:eastAsia="Arial"/>
                <w:b w:val="0"/>
                <w:i w:val="0"/>
                <w:sz w:val="18"/>
              </w:rPr>
              <w:t>Findings from internal and external audits</w:t>
            </w:r>
          </w:p>
        </w:tc>
        <w:tc>
          <w:tcPr>
            <w:tcW w:type="dxa" w:w="1728"/>
          </w:tcPr>
          <w:p>
            <w:pPr>
              <w:keepNext w:val="0"/>
              <w:spacing w:before="40" w:after="40" w:line="240" w:lineRule="auto"/>
            </w:pPr>
            <w:sdt>
              <w:sdtPr>
                <w:alias w:val="Audit reports"/>
                <w:tag w:val="08.t3.r6.c2"/>
              </w:sdtPr>
              <w:sdtContent>
                <w:r>
                  <w:rPr>
                    <w:rFonts w:ascii="Arial" w:hAnsi="Arial" w:cs="Arial" w:eastAsia="Arial"/>
                    <w:b w:val="0"/>
                    <w:i w:val="0"/>
                    <w:sz w:val="18"/>
                    <w:highlight w:val="yellow"/>
                  </w:rPr>
                  <w:t>&lt;Audit reports&gt;</w:t>
                </w:r>
              </w:sdtContent>
            </w:sdt>
          </w:p>
        </w:tc>
      </w:tr>
      <w:tr>
        <w:trPr>
          <w:cantSplit w:val="true"/>
        </w:trPr>
        <w:tc>
          <w:tcPr>
            <w:tcW w:type="dxa" w:w="3600"/>
          </w:tcPr>
          <w:p>
            <w:pPr>
              <w:keepNext w:val="0"/>
              <w:spacing w:before="40" w:after="40" w:line="240" w:lineRule="auto"/>
            </w:pPr>
            <w:r>
              <w:rPr>
                <w:rFonts w:ascii="Arial" w:hAnsi="Arial" w:cs="Arial" w:eastAsia="Arial"/>
                <w:b w:val="0"/>
                <w:i w:val="0"/>
                <w:sz w:val="18"/>
              </w:rPr>
              <w:t xml:space="preserve">   4. Fulfilment of information security objectives</w:t>
            </w:r>
          </w:p>
        </w:tc>
        <w:tc>
          <w:tcPr>
            <w:tcW w:type="dxa" w:w="3888"/>
          </w:tcPr>
          <w:p>
            <w:pPr>
              <w:keepNext w:val="0"/>
              <w:spacing w:before="40" w:after="40" w:line="240" w:lineRule="auto"/>
            </w:pPr>
            <w:r>
              <w:rPr>
                <w:rFonts w:ascii="Arial" w:hAnsi="Arial" w:cs="Arial" w:eastAsia="Arial"/>
                <w:b w:val="0"/>
                <w:i w:val="0"/>
                <w:sz w:val="18"/>
              </w:rPr>
              <w:t>Each objective: on track, at risk, met or missed</w:t>
            </w:r>
          </w:p>
        </w:tc>
        <w:tc>
          <w:tcPr>
            <w:tcW w:type="dxa" w:w="1728"/>
          </w:tcPr>
          <w:p>
            <w:pPr>
              <w:keepNext w:val="0"/>
              <w:spacing w:before="40" w:after="40" w:line="240" w:lineRule="auto"/>
            </w:pPr>
            <w:sdt>
              <w:sdtPr>
                <w:alias w:val="Objectives plan, ISMS-10"/>
                <w:tag w:val="08.t3.r7.c2"/>
              </w:sdtPr>
              <w:sdtContent>
                <w:r>
                  <w:rPr>
                    <w:rFonts w:ascii="Arial" w:hAnsi="Arial" w:cs="Arial" w:eastAsia="Arial"/>
                    <w:b w:val="0"/>
                    <w:i w:val="0"/>
                    <w:sz w:val="18"/>
                    <w:highlight w:val="yellow"/>
                  </w:rPr>
                  <w:t>&lt;Objectives plan, ISMS-10&gt;</w:t>
                </w:r>
              </w:sdtContent>
            </w:sdt>
          </w:p>
        </w:tc>
      </w:tr>
      <w:tr>
        <w:trPr>
          <w:cantSplit w:val="true"/>
        </w:trPr>
        <w:tc>
          <w:tcPr>
            <w:tcW w:type="dxa" w:w="3600"/>
          </w:tcPr>
          <w:p>
            <w:pPr>
              <w:keepNext w:val="0"/>
              <w:spacing w:before="40" w:after="40" w:line="240" w:lineRule="auto"/>
            </w:pPr>
            <w:r>
              <w:rPr>
                <w:rFonts w:ascii="Arial" w:hAnsi="Arial" w:cs="Arial" w:eastAsia="Arial"/>
                <w:b w:val="0"/>
                <w:i w:val="0"/>
                <w:sz w:val="18"/>
              </w:rPr>
              <w:t>e) Feedback from interested parties</w:t>
            </w:r>
          </w:p>
        </w:tc>
        <w:tc>
          <w:tcPr>
            <w:tcW w:type="dxa" w:w="3888"/>
          </w:tcPr>
          <w:p>
            <w:pPr>
              <w:keepNext w:val="0"/>
              <w:spacing w:before="40" w:after="40" w:line="240" w:lineRule="auto"/>
            </w:pPr>
            <w:r>
              <w:rPr>
                <w:rFonts w:ascii="Arial" w:hAnsi="Arial" w:cs="Arial" w:eastAsia="Arial"/>
                <w:b w:val="0"/>
                <w:i w:val="0"/>
                <w:sz w:val="18"/>
              </w:rPr>
              <w:t>Customer and employee feedback, supplier reviews, questionnaires</w:t>
            </w:r>
          </w:p>
        </w:tc>
        <w:tc>
          <w:tcPr>
            <w:tcW w:type="dxa" w:w="1728"/>
          </w:tcPr>
          <w:p>
            <w:pPr>
              <w:keepNext w:val="0"/>
              <w:spacing w:before="40" w:after="40" w:line="240" w:lineRule="auto"/>
            </w:pPr>
            <w:sdt>
              <w:sdtPr>
                <w:alias w:val="Feedback records"/>
                <w:tag w:val="08.t3.r8.c2"/>
              </w:sdtPr>
              <w:sdtContent>
                <w:r>
                  <w:rPr>
                    <w:rFonts w:ascii="Arial" w:hAnsi="Arial" w:cs="Arial" w:eastAsia="Arial"/>
                    <w:b w:val="0"/>
                    <w:i w:val="0"/>
                    <w:sz w:val="18"/>
                    <w:highlight w:val="yellow"/>
                  </w:rPr>
                  <w:t>&lt;Feedback records&gt;</w:t>
                </w:r>
              </w:sdtContent>
            </w:sdt>
          </w:p>
        </w:tc>
      </w:tr>
      <w:tr>
        <w:trPr>
          <w:cantSplit w:val="true"/>
        </w:trPr>
        <w:tc>
          <w:tcPr>
            <w:tcW w:type="dxa" w:w="3600"/>
          </w:tcPr>
          <w:p>
            <w:pPr>
              <w:keepNext w:val="0"/>
              <w:spacing w:before="40" w:after="40" w:line="240" w:lineRule="auto"/>
            </w:pPr>
            <w:r>
              <w:rPr>
                <w:rFonts w:ascii="Arial" w:hAnsi="Arial" w:cs="Arial" w:eastAsia="Arial"/>
                <w:b w:val="0"/>
                <w:i w:val="0"/>
                <w:sz w:val="18"/>
              </w:rPr>
              <w:t>f) Results of risk assessment and the status of the risk treatment plan</w:t>
            </w:r>
          </w:p>
        </w:tc>
        <w:tc>
          <w:tcPr>
            <w:tcW w:type="dxa" w:w="3888"/>
          </w:tcPr>
          <w:p>
            <w:pPr>
              <w:keepNext w:val="0"/>
              <w:spacing w:before="40" w:after="40" w:line="240" w:lineRule="auto"/>
            </w:pPr>
            <w:r>
              <w:rPr>
                <w:rFonts w:ascii="Arial" w:hAnsi="Arial" w:cs="Arial" w:eastAsia="Arial"/>
                <w:b w:val="0"/>
                <w:i w:val="0"/>
                <w:sz w:val="18"/>
              </w:rPr>
              <w:t>Top risks, new risks, treatment progress, accepted residual risks</w:t>
            </w:r>
          </w:p>
        </w:tc>
        <w:tc>
          <w:tcPr>
            <w:tcW w:type="dxa" w:w="1728"/>
          </w:tcPr>
          <w:p>
            <w:pPr>
              <w:keepNext w:val="0"/>
              <w:spacing w:before="40" w:after="40" w:line="240" w:lineRule="auto"/>
            </w:pPr>
            <w:sdt>
              <w:sdtPr>
                <w:alias w:val="Risk register, ISMS-04"/>
                <w:tag w:val="08.t3.r9.c2"/>
              </w:sdtPr>
              <w:sdtContent>
                <w:r>
                  <w:rPr>
                    <w:rFonts w:ascii="Arial" w:hAnsi="Arial" w:cs="Arial" w:eastAsia="Arial"/>
                    <w:b w:val="0"/>
                    <w:i w:val="0"/>
                    <w:sz w:val="18"/>
                    <w:highlight w:val="yellow"/>
                  </w:rPr>
                  <w:t>&lt;Risk register, ISMS-04&gt;</w:t>
                </w:r>
              </w:sdtContent>
            </w:sdt>
          </w:p>
        </w:tc>
      </w:tr>
      <w:tr>
        <w:trPr>
          <w:cantSplit w:val="true"/>
        </w:trPr>
        <w:tc>
          <w:tcPr>
            <w:tcW w:type="dxa" w:w="3600"/>
          </w:tcPr>
          <w:p>
            <w:pPr>
              <w:keepNext w:val="0"/>
              <w:spacing w:before="40" w:after="40" w:line="240" w:lineRule="auto"/>
            </w:pPr>
            <w:r>
              <w:rPr>
                <w:rFonts w:ascii="Arial" w:hAnsi="Arial" w:cs="Arial" w:eastAsia="Arial"/>
                <w:b w:val="0"/>
                <w:i w:val="0"/>
                <w:sz w:val="18"/>
              </w:rPr>
              <w:t>g) Opportunities for continual improvement</w:t>
            </w:r>
          </w:p>
        </w:tc>
        <w:tc>
          <w:tcPr>
            <w:tcW w:type="dxa" w:w="3888"/>
          </w:tcPr>
          <w:p>
            <w:pPr>
              <w:keepNext w:val="0"/>
              <w:spacing w:before="40" w:after="40" w:line="240" w:lineRule="auto"/>
            </w:pPr>
            <w:r>
              <w:rPr>
                <w:rFonts w:ascii="Arial" w:hAnsi="Arial" w:cs="Arial" w:eastAsia="Arial"/>
                <w:b w:val="0"/>
                <w:i w:val="0"/>
                <w:sz w:val="18"/>
              </w:rPr>
              <w:t>Ideas and lessons from incidents and audits</w:t>
            </w:r>
          </w:p>
        </w:tc>
        <w:tc>
          <w:tcPr>
            <w:tcW w:type="dxa" w:w="1728"/>
          </w:tcPr>
          <w:p>
            <w:pPr>
              <w:keepNext w:val="0"/>
              <w:spacing w:before="40" w:after="40" w:line="240" w:lineRule="auto"/>
            </w:pPr>
            <w:sdt>
              <w:sdtPr>
                <w:alias w:val="Improvement register, ISMS-09"/>
                <w:tag w:val="08.t3.r10.c2"/>
              </w:sdtPr>
              <w:sdtContent>
                <w:r>
                  <w:rPr>
                    <w:rFonts w:ascii="Arial" w:hAnsi="Arial" w:cs="Arial" w:eastAsia="Arial"/>
                    <w:b w:val="0"/>
                    <w:i w:val="0"/>
                    <w:sz w:val="18"/>
                    <w:highlight w:val="yellow"/>
                  </w:rPr>
                  <w:t>&lt;Improvement register, ISMS-09&gt;</w:t>
                </w:r>
              </w:sdtContent>
            </w:sdt>
          </w:p>
        </w:tc>
      </w:tr>
      <w:tr>
        <w:trPr>
          <w:cantSplit w:val="true"/>
        </w:trPr>
        <w:tc>
          <w:tcPr>
            <w:tcW w:type="dxa" w:w="3600"/>
          </w:tcPr>
          <w:p>
            <w:pPr>
              <w:keepNext w:val="0"/>
              <w:spacing w:before="40" w:after="40" w:line="240" w:lineRule="auto"/>
            </w:pPr>
            <w:r>
              <w:rPr>
                <w:rFonts w:ascii="Arial" w:hAnsi="Arial" w:cs="Arial" w:eastAsia="Arial"/>
                <w:b w:val="0"/>
                <w:i w:val="0"/>
                <w:sz w:val="18"/>
              </w:rPr>
              <w:t>Also: security incidents</w:t>
            </w:r>
          </w:p>
        </w:tc>
        <w:tc>
          <w:tcPr>
            <w:tcW w:type="dxa" w:w="3888"/>
          </w:tcPr>
          <w:p>
            <w:pPr>
              <w:keepNext w:val="0"/>
              <w:spacing w:before="40" w:after="40" w:line="240" w:lineRule="auto"/>
            </w:pPr>
            <w:r>
              <w:rPr>
                <w:rFonts w:ascii="Arial" w:hAnsi="Arial" w:cs="Arial" w:eastAsia="Arial"/>
                <w:b w:val="0"/>
                <w:i w:val="0"/>
                <w:sz w:val="18"/>
              </w:rPr>
              <w:t>Number, type, impact and lessons learned</w:t>
            </w:r>
          </w:p>
        </w:tc>
        <w:tc>
          <w:tcPr>
            <w:tcW w:type="dxa" w:w="1728"/>
          </w:tcPr>
          <w:p>
            <w:pPr>
              <w:keepNext w:val="0"/>
              <w:spacing w:before="40" w:after="40" w:line="240" w:lineRule="auto"/>
            </w:pPr>
            <w:sdt>
              <w:sdtPr>
                <w:alias w:val="Incident log"/>
                <w:tag w:val="08.t3.r11.c2"/>
              </w:sdtPr>
              <w:sdtContent>
                <w:r>
                  <w:rPr>
                    <w:rFonts w:ascii="Arial" w:hAnsi="Arial" w:cs="Arial" w:eastAsia="Arial"/>
                    <w:b w:val="0"/>
                    <w:i w:val="0"/>
                    <w:sz w:val="18"/>
                    <w:highlight w:val="yellow"/>
                  </w:rPr>
                  <w:t>&lt;Incident log&gt;</w:t>
                </w:r>
              </w:sdtContent>
            </w:sdt>
          </w:p>
        </w:tc>
      </w:tr>
      <w:tr>
        <w:trPr>
          <w:cantSplit w:val="true"/>
        </w:trPr>
        <w:tc>
          <w:tcPr>
            <w:tcW w:type="dxa" w:w="3600"/>
          </w:tcPr>
          <w:p>
            <w:pPr>
              <w:keepNext w:val="0"/>
              <w:spacing w:before="40" w:after="40" w:line="240" w:lineRule="auto"/>
            </w:pPr>
            <w:r>
              <w:rPr>
                <w:rFonts w:ascii="Arial" w:hAnsi="Arial" w:cs="Arial" w:eastAsia="Arial"/>
                <w:b w:val="0"/>
                <w:i w:val="0"/>
                <w:sz w:val="18"/>
              </w:rPr>
              <w:t>Also: resources</w:t>
            </w:r>
          </w:p>
        </w:tc>
        <w:tc>
          <w:tcPr>
            <w:tcW w:type="dxa" w:w="3888"/>
          </w:tcPr>
          <w:p>
            <w:pPr>
              <w:keepNext w:val="0"/>
              <w:spacing w:before="40" w:after="40" w:line="240" w:lineRule="auto"/>
            </w:pPr>
            <w:r>
              <w:rPr>
                <w:rFonts w:ascii="Arial" w:hAnsi="Arial" w:cs="Arial" w:eastAsia="Arial"/>
                <w:b w:val="0"/>
                <w:i w:val="0"/>
                <w:sz w:val="18"/>
              </w:rPr>
              <w:t>Whether people, tools and budget are sufficient</w:t>
            </w:r>
          </w:p>
        </w:tc>
        <w:tc>
          <w:tcPr>
            <w:tcW w:type="dxa" w:w="1728"/>
          </w:tcPr>
          <w:p>
            <w:pPr>
              <w:keepNext w:val="0"/>
              <w:spacing w:before="40" w:after="40" w:line="240" w:lineRule="auto"/>
            </w:pPr>
            <w:sdt>
              <w:sdtPr>
                <w:alias w:val="ISMS Manager"/>
                <w:tag w:val="08.t3.r12.c2"/>
              </w:sdtPr>
              <w:sdtContent>
                <w:r>
                  <w:rPr>
                    <w:rFonts w:ascii="Arial" w:hAnsi="Arial" w:cs="Arial" w:eastAsia="Arial"/>
                    <w:b w:val="0"/>
                    <w:i w:val="0"/>
                    <w:sz w:val="18"/>
                    <w:highlight w:val="yellow"/>
                  </w:rPr>
                  <w:t>&lt;ISMS Manager&gt;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Outputs of the review</w:t>
      </w:r>
    </w:p>
    <w:p>
      <w:pPr>
        <w:keepNext w:val="0"/>
        <w:spacing w:before="0" w:after="120" w:line="276" w:lineRule="auto"/>
      </w:pPr>
      <w:r>
        <w:rPr>
          <w:rFonts w:ascii="Arial" w:hAnsi="Arial" w:cs="Arial" w:eastAsia="Arial"/>
          <w:b w:val="0"/>
          <w:i w:val="0"/>
          <w:sz w:val="21"/>
        </w:rPr>
        <w:t>The review records decisions and actions about:</w:t>
      </w:r>
    </w:p>
    <w:p>
      <w:pPr>
        <w:pStyle w:val="ListBullet"/>
        <w:keepNext w:val="0"/>
        <w:spacing w:before="0" w:after="60" w:line="276" w:lineRule="auto"/>
        <w:ind w:left="432" w:hanging="288"/>
      </w:pPr>
      <w:r>
        <w:rPr>
          <w:rFonts w:ascii="Arial" w:hAnsi="Arial" w:cs="Arial" w:eastAsia="Arial"/>
          <w:b w:val="0"/>
          <w:i w:val="0"/>
          <w:sz w:val="21"/>
        </w:rPr>
        <w:t>Opportunities for continual improvement.</w:t>
      </w:r>
    </w:p>
    <w:p>
      <w:pPr>
        <w:pStyle w:val="ListBullet"/>
        <w:keepNext w:val="0"/>
        <w:spacing w:before="0" w:after="60" w:line="276" w:lineRule="auto"/>
        <w:ind w:left="432" w:hanging="288"/>
      </w:pPr>
      <w:r>
        <w:rPr>
          <w:rFonts w:ascii="Arial" w:hAnsi="Arial" w:cs="Arial" w:eastAsia="Arial"/>
          <w:b w:val="0"/>
          <w:i w:val="0"/>
          <w:sz w:val="21"/>
        </w:rPr>
        <w:t>Any need for changes to the ISMS, including its scope, policy, objectives and risk criteria.</w:t>
      </w:r>
    </w:p>
    <w:p>
      <w:pPr>
        <w:pStyle w:val="ListBullet"/>
        <w:keepNext w:val="0"/>
        <w:spacing w:before="0" w:after="60" w:line="276" w:lineRule="auto"/>
        <w:ind w:left="432" w:hanging="288"/>
      </w:pPr>
      <w:r>
        <w:rPr>
          <w:rFonts w:ascii="Arial" w:hAnsi="Arial" w:cs="Arial" w:eastAsia="Arial"/>
          <w:b w:val="0"/>
          <w:i w:val="0"/>
          <w:sz w:val="21"/>
        </w:rPr>
        <w:t>The resources needed, such as people, budget and tools.</w:t>
      </w:r>
    </w:p>
    <w:p>
      <w:pPr>
        <w:pStyle w:val="ListBullet"/>
        <w:keepNext w:val="0"/>
        <w:spacing w:before="0" w:after="60" w:line="276" w:lineRule="auto"/>
        <w:ind w:left="432" w:hanging="288"/>
      </w:pPr>
      <w:r>
        <w:rPr>
          <w:rFonts w:ascii="Arial" w:hAnsi="Arial" w:cs="Arial" w:eastAsia="Arial"/>
          <w:b w:val="0"/>
          <w:i w:val="0"/>
          <w:sz w:val="21"/>
        </w:rPr>
        <w:t>Anything else top management decides to act on.</w:t>
      </w:r>
    </w:p>
    <w:p>
      <w:pPr>
        <w:keepNext w:val="0"/>
        <w:spacing w:before="0" w:after="40" w:line="240" w:lineRule="auto"/>
      </w:pPr>
    </w:p>
    <w:p>
      <w:pPr>
        <w:keepNext w:val="0"/>
        <w:spacing w:before="0" w:after="120" w:line="276" w:lineRule="auto"/>
      </w:pPr>
      <w:r>
        <w:rPr>
          <w:rFonts w:ascii="Arial" w:hAnsi="Arial" w:cs="Arial" w:eastAsia="Arial"/>
          <w:b w:val="0"/>
          <w:i w:val="0"/>
          <w:sz w:val="21"/>
        </w:rPr>
        <w:t>Each action has an owner and a date, and is recorded in the minutes.</w:t>
      </w:r>
    </w:p>
    <w:p>
      <w:pPr>
        <w:keepNext/>
        <w:spacing w:before="280" w:after="120" w:line="264" w:lineRule="auto"/>
      </w:pPr>
      <w:r>
        <w:rPr>
          <w:rFonts w:ascii="Arial" w:hAnsi="Arial" w:cs="Arial" w:eastAsia="Arial"/>
          <w:b/>
          <w:i w:val="0"/>
          <w:color w:val="1B253B"/>
          <w:sz w:val="28"/>
        </w:rPr>
        <w:t>7. Agenda</w:t>
      </w:r>
    </w:p>
    <w:p>
      <w:pPr>
        <w:keepNext w:val="0"/>
        <w:spacing w:before="0" w:after="60" w:line="276" w:lineRule="auto"/>
        <w:ind w:left="504" w:hanging="403"/>
      </w:pPr>
      <w:r>
        <w:rPr>
          <w:rFonts w:ascii="Arial" w:hAnsi="Arial" w:cs="Arial" w:eastAsia="Arial"/>
          <w:b w:val="0"/>
          <w:i w:val="0"/>
          <w:sz w:val="21"/>
        </w:rPr>
        <w:t>1.  Welcome, attendance and apologies.</w:t>
      </w:r>
    </w:p>
    <w:p>
      <w:pPr>
        <w:keepNext w:val="0"/>
        <w:spacing w:before="0" w:after="60" w:line="276" w:lineRule="auto"/>
        <w:ind w:left="504" w:hanging="403"/>
      </w:pPr>
      <w:r>
        <w:rPr>
          <w:rFonts w:ascii="Arial" w:hAnsi="Arial" w:cs="Arial" w:eastAsia="Arial"/>
          <w:b w:val="0"/>
          <w:i w:val="0"/>
          <w:sz w:val="21"/>
        </w:rPr>
        <w:t>2.  Actions from the last review.</w:t>
      </w:r>
    </w:p>
    <w:p>
      <w:pPr>
        <w:keepNext w:val="0"/>
        <w:spacing w:before="0" w:after="60" w:line="276" w:lineRule="auto"/>
        <w:ind w:left="504" w:hanging="403"/>
      </w:pPr>
      <w:r>
        <w:rPr>
          <w:rFonts w:ascii="Arial" w:hAnsi="Arial" w:cs="Arial" w:eastAsia="Arial"/>
          <w:b w:val="0"/>
          <w:i w:val="0"/>
          <w:sz w:val="21"/>
        </w:rPr>
        <w:t>3.  Changes to context and to the needs of interested parties.</w:t>
      </w:r>
    </w:p>
    <w:p>
      <w:pPr>
        <w:keepNext w:val="0"/>
        <w:spacing w:before="0" w:after="60" w:line="276" w:lineRule="auto"/>
        <w:ind w:left="504" w:hanging="403"/>
      </w:pPr>
      <w:r>
        <w:rPr>
          <w:rFonts w:ascii="Arial" w:hAnsi="Arial" w:cs="Arial" w:eastAsia="Arial"/>
          <w:b w:val="0"/>
          <w:i w:val="0"/>
          <w:sz w:val="21"/>
        </w:rPr>
        <w:t>4.  Performance of the ISMS: nonconformities, measures, audits, objectives.</w:t>
      </w:r>
    </w:p>
    <w:p>
      <w:pPr>
        <w:keepNext w:val="0"/>
        <w:spacing w:before="0" w:after="60" w:line="276" w:lineRule="auto"/>
        <w:ind w:left="504" w:hanging="403"/>
      </w:pPr>
      <w:r>
        <w:rPr>
          <w:rFonts w:ascii="Arial" w:hAnsi="Arial" w:cs="Arial" w:eastAsia="Arial"/>
          <w:b w:val="0"/>
          <w:i w:val="0"/>
          <w:sz w:val="21"/>
        </w:rPr>
        <w:t>5.  Incidents and lessons learned.</w:t>
      </w:r>
    </w:p>
    <w:p>
      <w:pPr>
        <w:keepNext w:val="0"/>
        <w:spacing w:before="0" w:after="60" w:line="276" w:lineRule="auto"/>
        <w:ind w:left="504" w:hanging="403"/>
      </w:pPr>
      <w:r>
        <w:rPr>
          <w:rFonts w:ascii="Arial" w:hAnsi="Arial" w:cs="Arial" w:eastAsia="Arial"/>
          <w:b w:val="0"/>
          <w:i w:val="0"/>
          <w:sz w:val="21"/>
        </w:rPr>
        <w:t>6.  Feedback from interested parties.</w:t>
      </w:r>
    </w:p>
    <w:p>
      <w:pPr>
        <w:keepNext w:val="0"/>
        <w:spacing w:before="0" w:after="60" w:line="276" w:lineRule="auto"/>
        <w:ind w:left="504" w:hanging="403"/>
      </w:pPr>
      <w:r>
        <w:rPr>
          <w:rFonts w:ascii="Arial" w:hAnsi="Arial" w:cs="Arial" w:eastAsia="Arial"/>
          <w:b w:val="0"/>
          <w:i w:val="0"/>
          <w:sz w:val="21"/>
        </w:rPr>
        <w:t>7.  Risks and the risk treatment plan.</w:t>
      </w:r>
    </w:p>
    <w:p>
      <w:pPr>
        <w:keepNext w:val="0"/>
        <w:spacing w:before="0" w:after="60" w:line="276" w:lineRule="auto"/>
        <w:ind w:left="504" w:hanging="403"/>
      </w:pPr>
      <w:r>
        <w:rPr>
          <w:rFonts w:ascii="Arial" w:hAnsi="Arial" w:cs="Arial" w:eastAsia="Arial"/>
          <w:b w:val="0"/>
          <w:i w:val="0"/>
          <w:sz w:val="21"/>
        </w:rPr>
        <w:t>8.  Resources.</w:t>
      </w:r>
    </w:p>
    <w:p>
      <w:pPr>
        <w:keepNext w:val="0"/>
        <w:spacing w:before="0" w:after="60" w:line="276" w:lineRule="auto"/>
        <w:ind w:left="504" w:hanging="403"/>
      </w:pPr>
      <w:r>
        <w:rPr>
          <w:rFonts w:ascii="Arial" w:hAnsi="Arial" w:cs="Arial" w:eastAsia="Arial"/>
          <w:b w:val="0"/>
          <w:i w:val="0"/>
          <w:sz w:val="21"/>
        </w:rPr>
        <w:t>9.  Opportunities for improvement.</w:t>
      </w:r>
    </w:p>
    <w:p>
      <w:pPr>
        <w:keepNext w:val="0"/>
        <w:spacing w:before="0" w:after="60" w:line="276" w:lineRule="auto"/>
        <w:ind w:left="504" w:hanging="403"/>
      </w:pPr>
      <w:r>
        <w:rPr>
          <w:rFonts w:ascii="Arial" w:hAnsi="Arial" w:cs="Arial" w:eastAsia="Arial"/>
          <w:b w:val="0"/>
          <w:i w:val="0"/>
          <w:sz w:val="21"/>
        </w:rPr>
        <w:t>10.  Decisions, actions and the date of the next review.</w:t>
      </w:r>
    </w:p>
    <w:p>
      <w:pPr>
        <w:keepNext w:val="0"/>
        <w:spacing w:before="0" w:after="40" w:line="240" w:lineRule="auto"/>
      </w:pPr>
    </w:p>
    <w:p>
      <w:pPr>
        <w:keepNext/>
        <w:spacing w:before="280" w:after="120" w:line="264" w:lineRule="auto"/>
      </w:pPr>
      <w:r>
        <w:rPr>
          <w:rFonts w:ascii="Arial" w:hAnsi="Arial" w:cs="Arial" w:eastAsia="Arial"/>
          <w:b/>
          <w:i w:val="0"/>
          <w:color w:val="1B253B"/>
          <w:sz w:val="28"/>
        </w:rPr>
        <w:t>8. Minutes</w:t>
      </w:r>
    </w:p>
    <w:p>
      <w:pPr>
        <w:keepNext w:val="0"/>
        <w:spacing w:before="0" w:after="120" w:line="276" w:lineRule="auto"/>
      </w:pPr>
      <w:r>
        <w:rPr>
          <w:rFonts w:ascii="Arial" w:hAnsi="Arial" w:cs="Arial" w:eastAsia="Arial"/>
          <w:b w:val="0"/>
          <w:i w:val="0"/>
          <w:sz w:val="21"/>
        </w:rPr>
        <w:t xml:space="preserve">The ISMS Manager keeps minutes, which are the record of the review. They are sent to attendees within </w:t>
      </w:r>
      <w:sdt>
        <w:sdtPr>
          <w:alias w:val="Minutes sent within (working days)"/>
          <w:tag w:val="08.minutes_days"/>
        </w:sdtPr>
        <w:sdtContent>
          <w:r>
            <w:rPr>
              <w:rFonts w:ascii="Arial" w:hAnsi="Arial" w:cs="Arial" w:eastAsia="Arial"/>
              <w:b w:val="0"/>
              <w:i w:val="0"/>
              <w:sz w:val="21"/>
              <w:highlight w:val="yellow"/>
            </w:rPr>
            <w:t>&lt;ten&gt;</w:t>
          </w:r>
        </w:sdtContent>
      </w:sdt>
      <w:r>
        <w:rPr>
          <w:rFonts w:ascii="Arial" w:hAnsi="Arial" w:cs="Arial" w:eastAsia="Arial"/>
          <w:b w:val="0"/>
          <w:i w:val="0"/>
          <w:sz w:val="21"/>
        </w:rPr>
        <w:t xml:space="preserve"> working days, and the actions are added to the action tracker.</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3312"/>
            <w:shd w:val="clear" w:color="auto" w:fill="DCE6F5"/>
          </w:tcPr>
          <w:p>
            <w:pPr>
              <w:keepNext w:val="0"/>
              <w:spacing w:before="40" w:after="40" w:line="240" w:lineRule="auto"/>
            </w:pPr>
            <w:r>
              <w:rPr>
                <w:rFonts w:ascii="Arial" w:hAnsi="Arial" w:cs="Arial" w:eastAsia="Arial"/>
                <w:b/>
                <w:i w:val="0"/>
                <w:color w:val="1B253B"/>
                <w:sz w:val="18"/>
              </w:rPr>
              <w:t>Management review minutes</w:t>
            </w:r>
          </w:p>
        </w:tc>
        <w:tc>
          <w:tcPr>
            <w:tcW w:type="dxa" w:w="5904"/>
            <w:shd w:val="clear" w:color="auto" w:fill="DCE6F5"/>
          </w:tcPr>
          <w:p>
            <w:pPr>
              <w:keepNext w:val="0"/>
              <w:spacing w:before="40" w:after="40" w:line="240" w:lineRule="auto"/>
            </w:pPr>
          </w:p>
        </w:tc>
      </w:tr>
      <w:tr>
        <w:trPr>
          <w:cantSplit w:val="true"/>
        </w:trPr>
        <w:tc>
          <w:tcPr>
            <w:tcW w:type="dxa" w:w="3312"/>
          </w:tcPr>
          <w:p>
            <w:pPr>
              <w:keepNext w:val="0"/>
              <w:spacing w:before="40" w:after="40" w:line="240" w:lineRule="auto"/>
            </w:pPr>
            <w:r>
              <w:rPr>
                <w:rFonts w:ascii="Arial" w:hAnsi="Arial" w:cs="Arial" w:eastAsia="Arial"/>
                <w:b w:val="0"/>
                <w:i w:val="0"/>
                <w:sz w:val="18"/>
              </w:rPr>
              <w:t>Date and place</w:t>
            </w:r>
          </w:p>
        </w:tc>
        <w:tc>
          <w:tcPr>
            <w:tcW w:type="dxa" w:w="5904"/>
          </w:tcPr>
          <w:p>
            <w:pPr>
              <w:keepNext w:val="0"/>
              <w:spacing w:before="40" w:after="40" w:line="240" w:lineRule="auto"/>
            </w:pPr>
            <w:r>
              <w:rPr>
                <w:rFonts w:ascii="Arial" w:hAnsi="Arial" w:cs="Arial" w:eastAsia="Arial"/>
                <w:b w:val="0"/>
                <w:i/>
                <w:color w:val="5B6678"/>
                <w:sz w:val="18"/>
              </w:rPr>
              <w:t>[Date and place]</w:t>
            </w:r>
          </w:p>
        </w:tc>
      </w:tr>
      <w:tr>
        <w:trPr>
          <w:cantSplit w:val="true"/>
        </w:trPr>
        <w:tc>
          <w:tcPr>
            <w:tcW w:type="dxa" w:w="3312"/>
          </w:tcPr>
          <w:p>
            <w:pPr>
              <w:keepNext w:val="0"/>
              <w:spacing w:before="40" w:after="40" w:line="240" w:lineRule="auto"/>
            </w:pPr>
            <w:r>
              <w:rPr>
                <w:rFonts w:ascii="Arial" w:hAnsi="Arial" w:cs="Arial" w:eastAsia="Arial"/>
                <w:b w:val="0"/>
                <w:i w:val="0"/>
                <w:sz w:val="18"/>
              </w:rPr>
              <w:t>Chair</w:t>
            </w:r>
          </w:p>
        </w:tc>
        <w:tc>
          <w:tcPr>
            <w:tcW w:type="dxa" w:w="5904"/>
          </w:tcPr>
          <w:p>
            <w:pPr>
              <w:keepNext w:val="0"/>
              <w:spacing w:before="40" w:after="40" w:line="240" w:lineRule="auto"/>
            </w:pPr>
            <w:r>
              <w:rPr>
                <w:rFonts w:ascii="Arial" w:hAnsi="Arial" w:cs="Arial" w:eastAsia="Arial"/>
                <w:b w:val="0"/>
                <w:i/>
                <w:color w:val="5B6678"/>
                <w:sz w:val="18"/>
              </w:rPr>
              <w:t>[Name]</w:t>
            </w:r>
          </w:p>
        </w:tc>
      </w:tr>
      <w:tr>
        <w:trPr>
          <w:cantSplit w:val="true"/>
        </w:trPr>
        <w:tc>
          <w:tcPr>
            <w:tcW w:type="dxa" w:w="3312"/>
          </w:tcPr>
          <w:p>
            <w:pPr>
              <w:keepNext w:val="0"/>
              <w:spacing w:before="40" w:after="40" w:line="240" w:lineRule="auto"/>
            </w:pPr>
            <w:r>
              <w:rPr>
                <w:rFonts w:ascii="Arial" w:hAnsi="Arial" w:cs="Arial" w:eastAsia="Arial"/>
                <w:b w:val="0"/>
                <w:i w:val="0"/>
                <w:sz w:val="18"/>
              </w:rPr>
              <w:t>Attendees</w:t>
            </w:r>
          </w:p>
        </w:tc>
        <w:tc>
          <w:tcPr>
            <w:tcW w:type="dxa" w:w="5904"/>
          </w:tcPr>
          <w:p>
            <w:pPr>
              <w:keepNext w:val="0"/>
              <w:spacing w:before="40" w:after="40" w:line="240" w:lineRule="auto"/>
            </w:pPr>
            <w:r>
              <w:rPr>
                <w:rFonts w:ascii="Arial" w:hAnsi="Arial" w:cs="Arial" w:eastAsia="Arial"/>
                <w:b w:val="0"/>
                <w:i/>
                <w:color w:val="5B6678"/>
                <w:sz w:val="18"/>
              </w:rPr>
              <w:t>[Names]</w:t>
            </w:r>
          </w:p>
        </w:tc>
      </w:tr>
      <w:tr>
        <w:trPr>
          <w:cantSplit w:val="true"/>
        </w:trPr>
        <w:tc>
          <w:tcPr>
            <w:tcW w:type="dxa" w:w="3312"/>
          </w:tcPr>
          <w:p>
            <w:pPr>
              <w:keepNext w:val="0"/>
              <w:spacing w:before="40" w:after="40" w:line="240" w:lineRule="auto"/>
            </w:pPr>
            <w:r>
              <w:rPr>
                <w:rFonts w:ascii="Arial" w:hAnsi="Arial" w:cs="Arial" w:eastAsia="Arial"/>
                <w:b w:val="0"/>
                <w:i w:val="0"/>
                <w:sz w:val="18"/>
              </w:rPr>
              <w:t>Apologies</w:t>
            </w:r>
          </w:p>
        </w:tc>
        <w:tc>
          <w:tcPr>
            <w:tcW w:type="dxa" w:w="5904"/>
          </w:tcPr>
          <w:p>
            <w:pPr>
              <w:keepNext w:val="0"/>
              <w:spacing w:before="40" w:after="40" w:line="240" w:lineRule="auto"/>
            </w:pPr>
            <w:r>
              <w:rPr>
                <w:rFonts w:ascii="Arial" w:hAnsi="Arial" w:cs="Arial" w:eastAsia="Arial"/>
                <w:b w:val="0"/>
                <w:i/>
                <w:color w:val="5B6678"/>
                <w:sz w:val="18"/>
              </w:rPr>
              <w:t>[Names]</w:t>
            </w:r>
          </w:p>
        </w:tc>
      </w:tr>
      <w:tr>
        <w:trPr>
          <w:cantSplit w:val="true"/>
        </w:trPr>
        <w:tc>
          <w:tcPr>
            <w:tcW w:type="dxa" w:w="3312"/>
          </w:tcPr>
          <w:p>
            <w:pPr>
              <w:keepNext w:val="0"/>
              <w:spacing w:before="40" w:after="40" w:line="240" w:lineRule="auto"/>
            </w:pPr>
            <w:r>
              <w:rPr>
                <w:rFonts w:ascii="Arial" w:hAnsi="Arial" w:cs="Arial" w:eastAsia="Arial"/>
                <w:b w:val="0"/>
                <w:i w:val="0"/>
                <w:sz w:val="18"/>
              </w:rPr>
              <w:t>Inputs reviewed</w:t>
            </w:r>
          </w:p>
        </w:tc>
        <w:tc>
          <w:tcPr>
            <w:tcW w:type="dxa" w:w="5904"/>
          </w:tcPr>
          <w:p>
            <w:pPr>
              <w:keepNext w:val="0"/>
              <w:spacing w:before="40" w:after="40" w:line="240" w:lineRule="auto"/>
            </w:pPr>
            <w:r>
              <w:rPr>
                <w:rFonts w:ascii="Arial" w:hAnsi="Arial" w:cs="Arial" w:eastAsia="Arial"/>
                <w:b w:val="0"/>
                <w:i/>
                <w:color w:val="5B6678"/>
                <w:sz w:val="18"/>
              </w:rPr>
              <w:t>[Confirm each input in section 5 was covered, and note any gaps]</w:t>
            </w:r>
          </w:p>
        </w:tc>
      </w:tr>
      <w:tr>
        <w:trPr>
          <w:cantSplit w:val="true"/>
        </w:trPr>
        <w:tc>
          <w:tcPr>
            <w:tcW w:type="dxa" w:w="3312"/>
          </w:tcPr>
          <w:p>
            <w:pPr>
              <w:keepNext w:val="0"/>
              <w:spacing w:before="40" w:after="40" w:line="240" w:lineRule="auto"/>
            </w:pPr>
            <w:r>
              <w:rPr>
                <w:rFonts w:ascii="Arial" w:hAnsi="Arial" w:cs="Arial" w:eastAsia="Arial"/>
                <w:b w:val="0"/>
                <w:i w:val="0"/>
                <w:sz w:val="18"/>
              </w:rPr>
              <w:t>Conclusion on the suitability, adequacy and effectiveness of the ISMS</w:t>
            </w:r>
          </w:p>
        </w:tc>
        <w:tc>
          <w:tcPr>
            <w:tcW w:type="dxa" w:w="5904"/>
          </w:tcPr>
          <w:p>
            <w:pPr>
              <w:keepNext w:val="0"/>
              <w:spacing w:before="40" w:after="40" w:line="240" w:lineRule="auto"/>
            </w:pPr>
            <w:r>
              <w:rPr>
                <w:rFonts w:ascii="Arial" w:hAnsi="Arial" w:cs="Arial" w:eastAsia="Arial"/>
                <w:b w:val="0"/>
                <w:i/>
                <w:color w:val="5B6678"/>
                <w:sz w:val="18"/>
              </w:rPr>
              <w:t>[Conclusion]</w:t>
            </w:r>
          </w:p>
        </w:tc>
      </w:tr>
      <w:tr>
        <w:trPr>
          <w:cantSplit w:val="true"/>
        </w:trPr>
        <w:tc>
          <w:tcPr>
            <w:tcW w:type="dxa" w:w="3312"/>
          </w:tcPr>
          <w:p>
            <w:pPr>
              <w:keepNext w:val="0"/>
              <w:spacing w:before="40" w:after="40" w:line="240" w:lineRule="auto"/>
            </w:pPr>
            <w:r>
              <w:rPr>
                <w:rFonts w:ascii="Arial" w:hAnsi="Arial" w:cs="Arial" w:eastAsia="Arial"/>
                <w:b w:val="0"/>
                <w:i w:val="0"/>
                <w:sz w:val="18"/>
              </w:rPr>
              <w:t>Decisions</w:t>
            </w:r>
          </w:p>
        </w:tc>
        <w:tc>
          <w:tcPr>
            <w:tcW w:type="dxa" w:w="5904"/>
          </w:tcPr>
          <w:p>
            <w:pPr>
              <w:keepNext w:val="0"/>
              <w:spacing w:before="40" w:after="40" w:line="240" w:lineRule="auto"/>
            </w:pPr>
            <w:r>
              <w:rPr>
                <w:rFonts w:ascii="Arial" w:hAnsi="Arial" w:cs="Arial" w:eastAsia="Arial"/>
                <w:b w:val="0"/>
                <w:i/>
                <w:color w:val="5B6678"/>
                <w:sz w:val="18"/>
              </w:rPr>
              <w:t>[Decisions]</w:t>
            </w:r>
          </w:p>
        </w:tc>
      </w:tr>
      <w:tr>
        <w:trPr>
          <w:cantSplit w:val="true"/>
        </w:trPr>
        <w:tc>
          <w:tcPr>
            <w:tcW w:type="dxa" w:w="3312"/>
          </w:tcPr>
          <w:p>
            <w:pPr>
              <w:keepNext w:val="0"/>
              <w:spacing w:before="40" w:after="40" w:line="240" w:lineRule="auto"/>
            </w:pPr>
            <w:r>
              <w:rPr>
                <w:rFonts w:ascii="Arial" w:hAnsi="Arial" w:cs="Arial" w:eastAsia="Arial"/>
                <w:b w:val="0"/>
                <w:i w:val="0"/>
                <w:sz w:val="18"/>
              </w:rPr>
              <w:t>Next review</w:t>
            </w:r>
          </w:p>
        </w:tc>
        <w:tc>
          <w:tcPr>
            <w:tcW w:type="dxa" w:w="5904"/>
          </w:tcPr>
          <w:p>
            <w:pPr>
              <w:keepNext w:val="0"/>
              <w:spacing w:before="40" w:after="40" w:line="240" w:lineRule="auto"/>
            </w:pPr>
            <w:r>
              <w:rPr>
                <w:rFonts w:ascii="Arial" w:hAnsi="Arial" w:cs="Arial" w:eastAsia="Arial"/>
                <w:b w:val="0"/>
                <w:i/>
                <w:color w:val="5B6678"/>
                <w:sz w:val="18"/>
              </w:rPr>
              <w:t>[Date]</w:t>
            </w:r>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2293"/>
        <w:gridCol w:w="2293"/>
        <w:gridCol w:w="2293"/>
        <w:gridCol w:w="2293"/>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Action</w:t>
            </w:r>
          </w:p>
        </w:tc>
        <w:tc>
          <w:tcPr>
            <w:tcW w:type="dxa" w:w="1872"/>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Due</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Status</w:t>
            </w:r>
          </w:p>
        </w:tc>
      </w:tr>
      <w:tr>
        <w:trPr>
          <w:cantSplit w:val="true"/>
        </w:trPr>
        <w:tc>
          <w:tcPr>
            <w:tcW w:type="dxa" w:w="4896"/>
          </w:tcPr>
          <w:p>
            <w:pPr>
              <w:keepNext w:val="0"/>
              <w:spacing w:before="40" w:after="40" w:line="240" w:lineRule="auto"/>
            </w:pPr>
            <w:r>
              <w:rPr>
                <w:rFonts w:ascii="Arial" w:hAnsi="Arial" w:cs="Arial" w:eastAsia="Arial"/>
                <w:b w:val="0"/>
                <w:i/>
                <w:color w:val="5B6678"/>
                <w:sz w:val="18"/>
              </w:rPr>
              <w:t>[Action]</w:t>
            </w:r>
          </w:p>
        </w:tc>
        <w:tc>
          <w:tcPr>
            <w:tcW w:type="dxa" w:w="1872"/>
          </w:tcPr>
          <w:p>
            <w:pPr>
              <w:keepNext w:val="0"/>
              <w:spacing w:before="40" w:after="40" w:line="240" w:lineRule="auto"/>
            </w:pPr>
            <w:r>
              <w:rPr>
                <w:rFonts w:ascii="Arial" w:hAnsi="Arial" w:cs="Arial" w:eastAsia="Arial"/>
                <w:b w:val="0"/>
                <w:i/>
                <w:color w:val="5B6678"/>
                <w:sz w:val="18"/>
              </w:rPr>
              <w:t>[Owner]</w:t>
            </w:r>
          </w:p>
        </w:tc>
        <w:tc>
          <w:tcPr>
            <w:tcW w:type="dxa" w:w="1296"/>
          </w:tcPr>
          <w:p>
            <w:pPr>
              <w:keepNext w:val="0"/>
              <w:spacing w:before="40" w:after="40" w:line="240" w:lineRule="auto"/>
            </w:pPr>
            <w:r>
              <w:rPr>
                <w:rFonts w:ascii="Arial" w:hAnsi="Arial" w:cs="Arial" w:eastAsia="Arial"/>
                <w:b w:val="0"/>
                <w:i/>
                <w:color w:val="5B6678"/>
                <w:sz w:val="18"/>
              </w:rPr>
              <w:t>[Date]</w:t>
            </w:r>
          </w:p>
        </w:tc>
        <w:tc>
          <w:tcPr>
            <w:tcW w:type="dxa" w:w="1152"/>
          </w:tcPr>
          <w:p>
            <w:pPr>
              <w:keepNext w:val="0"/>
              <w:spacing w:before="40" w:after="40" w:line="240" w:lineRule="auto"/>
            </w:pPr>
            <w:r>
              <w:rPr>
                <w:rFonts w:ascii="Arial" w:hAnsi="Arial" w:cs="Arial" w:eastAsia="Arial"/>
                <w:b w:val="0"/>
                <w:i/>
                <w:color w:val="5B6678"/>
                <w:sz w:val="18"/>
              </w:rPr>
              <w:t>[Open]</w:t>
            </w:r>
          </w:p>
        </w:tc>
      </w:tr>
      <w:tr>
        <w:trPr>
          <w:cantSplit w:val="true"/>
        </w:trPr>
        <w:tc>
          <w:tcPr>
            <w:tcW w:type="dxa" w:w="4896"/>
          </w:tcPr>
          <w:p>
            <w:pPr>
              <w:keepNext w:val="0"/>
              <w:spacing w:before="40" w:after="40" w:line="240" w:lineRule="auto"/>
            </w:pPr>
            <w:r>
              <w:rPr>
                <w:rFonts w:ascii="Arial" w:hAnsi="Arial" w:cs="Arial" w:eastAsia="Arial"/>
                <w:b w:val="0"/>
                <w:i/>
                <w:color w:val="5B6678"/>
                <w:sz w:val="18"/>
              </w:rPr>
              <w:t>[Action]</w:t>
            </w:r>
          </w:p>
        </w:tc>
        <w:tc>
          <w:tcPr>
            <w:tcW w:type="dxa" w:w="1872"/>
          </w:tcPr>
          <w:p>
            <w:pPr>
              <w:keepNext w:val="0"/>
              <w:spacing w:before="40" w:after="40" w:line="240" w:lineRule="auto"/>
            </w:pPr>
            <w:r>
              <w:rPr>
                <w:rFonts w:ascii="Arial" w:hAnsi="Arial" w:cs="Arial" w:eastAsia="Arial"/>
                <w:b w:val="0"/>
                <w:i/>
                <w:color w:val="5B6678"/>
                <w:sz w:val="18"/>
              </w:rPr>
              <w:t>[Owner]</w:t>
            </w:r>
          </w:p>
        </w:tc>
        <w:tc>
          <w:tcPr>
            <w:tcW w:type="dxa" w:w="1296"/>
          </w:tcPr>
          <w:p>
            <w:pPr>
              <w:keepNext w:val="0"/>
              <w:spacing w:before="40" w:after="40" w:line="240" w:lineRule="auto"/>
            </w:pPr>
            <w:r>
              <w:rPr>
                <w:rFonts w:ascii="Arial" w:hAnsi="Arial" w:cs="Arial" w:eastAsia="Arial"/>
                <w:b w:val="0"/>
                <w:i/>
                <w:color w:val="5B6678"/>
                <w:sz w:val="18"/>
              </w:rPr>
              <w:t>[Date]</w:t>
            </w:r>
          </w:p>
        </w:tc>
        <w:tc>
          <w:tcPr>
            <w:tcW w:type="dxa" w:w="1152"/>
          </w:tcPr>
          <w:p>
            <w:pPr>
              <w:keepNext w:val="0"/>
              <w:spacing w:before="40" w:after="40" w:line="240" w:lineRule="auto"/>
            </w:pPr>
            <w:r>
              <w:rPr>
                <w:rFonts w:ascii="Arial" w:hAnsi="Arial" w:cs="Arial" w:eastAsia="Arial"/>
                <w:b w:val="0"/>
                <w:i/>
                <w:color w:val="5B6678"/>
                <w:sz w:val="18"/>
              </w:rPr>
              <w:t>[Open]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9. Follow-up</w:t>
      </w:r>
    </w:p>
    <w:p>
      <w:pPr>
        <w:keepNext w:val="0"/>
        <w:spacing w:before="0" w:after="120" w:line="276" w:lineRule="auto"/>
      </w:pPr>
      <w:r>
        <w:rPr>
          <w:rFonts w:ascii="Arial" w:hAnsi="Arial" w:cs="Arial" w:eastAsia="Arial"/>
          <w:b w:val="0"/>
          <w:i w:val="0"/>
          <w:sz w:val="21"/>
        </w:rPr>
        <w:t>The ISMS Manager tracks every action to completion, and reports any that are late to the chair. The first item at the next review is the status of these actions.</w:t>
      </w:r>
    </w:p>
    <w:p>
      <w:pPr>
        <w:keepNext/>
        <w:spacing w:before="280" w:after="120" w:line="264" w:lineRule="auto"/>
      </w:pPr>
      <w:r>
        <w:rPr>
          <w:rFonts w:ascii="Arial" w:hAnsi="Arial" w:cs="Arial" w:eastAsia="Arial"/>
          <w:b/>
          <w:i w:val="0"/>
          <w:color w:val="1B253B"/>
          <w:sz w:val="28"/>
        </w:rPr>
        <w:t>10. Records</w:t>
      </w:r>
    </w:p>
    <w:p>
      <w:pPr>
        <w:keepNext w:val="0"/>
        <w:spacing w:before="0" w:after="120" w:line="276" w:lineRule="auto"/>
      </w:pPr>
      <w:r>
        <w:rPr>
          <w:rFonts w:ascii="Arial" w:hAnsi="Arial" w:cs="Arial" w:eastAsia="Arial"/>
          <w:b w:val="0"/>
          <w:i w:val="0"/>
          <w:sz w:val="21"/>
        </w:rPr>
        <w:t xml:space="preserve">The review pack, the minutes and the action tracker are kept for </w:t>
      </w:r>
      <w:sdt>
        <w:sdtPr>
          <w:alias w:val="How long records are kept"/>
          <w:tag w:val="records_period"/>
        </w:sdtPr>
        <w:sdtContent>
          <w:r>
            <w:rPr>
              <w:rFonts w:ascii="Arial" w:hAnsi="Arial" w:cs="Arial" w:eastAsia="Arial"/>
              <w:b w:val="0"/>
              <w:i w:val="0"/>
              <w:sz w:val="21"/>
              <w:highlight w:val="yellow"/>
            </w:rPr>
            <w:t>&lt;period&gt;</w:t>
          </w:r>
        </w:sdtContent>
      </w:sdt>
      <w:r>
        <w:rPr>
          <w:rFonts w:ascii="Arial" w:hAnsi="Arial" w:cs="Arial" w:eastAsia="Arial"/>
          <w:b w:val="0"/>
          <w:i w:val="0"/>
          <w:sz w:val="21"/>
        </w:rPr>
        <w:t xml:space="preserve"> in </w:t>
      </w:r>
      <w:sdt>
        <w:sdtPr>
          <w:alias w:val="Where the ISMS records are kept"/>
          <w:tag w:val="records_location"/>
        </w:sdtPr>
        <w:sdtContent>
          <w:r>
            <w:rPr>
              <w:rFonts w:ascii="Arial" w:hAnsi="Arial" w:cs="Arial" w:eastAsia="Arial"/>
              <w:b w:val="0"/>
              <w:i w:val="0"/>
              <w:sz w:val="21"/>
              <w:highlight w:val="yellow"/>
            </w:rPr>
            <w:t>&lt;location&gt;</w:t>
          </w:r>
        </w:sdtContent>
      </w:sdt>
      <w:r>
        <w:rPr>
          <w:rFonts w:ascii="Arial" w:hAnsi="Arial" w:cs="Arial" w:eastAsia="Arial"/>
          <w:b w:val="0"/>
          <w:i w:val="0"/>
          <w:sz w:val="21"/>
        </w:rPr>
        <w:t>.</w:t>
      </w: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Procedure for Management Review</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for Management Review</dc:title>
  <dc:subject/>
  <dc:creator>Offset Assure</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