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Information Security Objectives Plan</w:t>
      </w:r>
    </w:p>
    <w:p>
      <w:pPr>
        <w:keepNext w:val="0"/>
        <w:spacing w:before="0" w:after="200" w:line="240" w:lineRule="auto"/>
      </w:pPr>
      <w:r>
        <w:rPr>
          <w:rFonts w:ascii="Arial" w:hAnsi="Arial" w:cs="Arial" w:eastAsia="Arial"/>
          <w:b w:val="0"/>
          <w:i w:val="0"/>
          <w:color w:val="5B6678"/>
          <w:sz w:val="21"/>
        </w:rPr>
        <w:t>The measurable goals for information security, who is responsible for each, and how progress is judged.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ISMS-10</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ISO/IEC 27001:2022, clause 6.2, requires the organisation to set information security objectives at relevant functions and levels, and to plan how to achieve them. This plan records the objectives of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what will be done to reach each, who is responsible, what resources are needed, when each will be done, and how the result will be evaluated.</w:t>
      </w:r>
    </w:p>
    <w:p>
      <w:pPr>
        <w:keepNext/>
        <w:spacing w:before="280" w:after="120" w:line="264" w:lineRule="auto"/>
      </w:pPr>
      <w:r>
        <w:rPr>
          <w:rFonts w:ascii="Arial" w:hAnsi="Arial" w:cs="Arial" w:eastAsia="Arial"/>
          <w:b/>
          <w:i w:val="0"/>
          <w:color w:val="1B253B"/>
          <w:sz w:val="28"/>
        </w:rPr>
        <w:t>2. What an objective must be</w:t>
      </w:r>
    </w:p>
    <w:p>
      <w:pPr>
        <w:pStyle w:val="ListBullet"/>
        <w:keepNext w:val="0"/>
        <w:spacing w:before="0" w:after="60" w:line="276" w:lineRule="auto"/>
        <w:ind w:left="432" w:hanging="288"/>
      </w:pPr>
      <w:r>
        <w:rPr>
          <w:rFonts w:ascii="Arial" w:hAnsi="Arial" w:cs="Arial" w:eastAsia="Arial"/>
          <w:b w:val="0"/>
          <w:i w:val="0"/>
          <w:sz w:val="21"/>
        </w:rPr>
        <w:t>Consistent with the ISMS policy (ISMS-02).</w:t>
      </w:r>
    </w:p>
    <w:p>
      <w:pPr>
        <w:pStyle w:val="ListBullet"/>
        <w:keepNext w:val="0"/>
        <w:spacing w:before="0" w:after="60" w:line="276" w:lineRule="auto"/>
        <w:ind w:left="432" w:hanging="288"/>
      </w:pPr>
      <w:r>
        <w:rPr>
          <w:rFonts w:ascii="Arial" w:hAnsi="Arial" w:cs="Arial" w:eastAsia="Arial"/>
          <w:b w:val="0"/>
          <w:i w:val="0"/>
          <w:sz w:val="21"/>
        </w:rPr>
        <w:t>Measurable, so that anybody can tell whether it has been met.</w:t>
      </w:r>
    </w:p>
    <w:p>
      <w:pPr>
        <w:pStyle w:val="ListBullet"/>
        <w:keepNext w:val="0"/>
        <w:spacing w:before="0" w:after="60" w:line="276" w:lineRule="auto"/>
        <w:ind w:left="432" w:hanging="288"/>
      </w:pPr>
      <w:r>
        <w:rPr>
          <w:rFonts w:ascii="Arial" w:hAnsi="Arial" w:cs="Arial" w:eastAsia="Arial"/>
          <w:b w:val="0"/>
          <w:i w:val="0"/>
          <w:sz w:val="21"/>
        </w:rPr>
        <w:t>Based on the applicable requirements and the results of risk assessment and treatment.</w:t>
      </w:r>
    </w:p>
    <w:p>
      <w:pPr>
        <w:pStyle w:val="ListBullet"/>
        <w:keepNext w:val="0"/>
        <w:spacing w:before="0" w:after="60" w:line="276" w:lineRule="auto"/>
        <w:ind w:left="432" w:hanging="288"/>
      </w:pPr>
      <w:r>
        <w:rPr>
          <w:rFonts w:ascii="Arial" w:hAnsi="Arial" w:cs="Arial" w:eastAsia="Arial"/>
          <w:b w:val="0"/>
          <w:i w:val="0"/>
          <w:sz w:val="21"/>
        </w:rPr>
        <w:t>Monitored, communicated and updated as needed.</w:t>
      </w:r>
    </w:p>
    <w:p>
      <w:pPr>
        <w:keepNext w:val="0"/>
        <w:spacing w:before="0" w:after="40" w:line="240" w:lineRule="auto"/>
      </w:pPr>
    </w:p>
    <w:p>
      <w:pPr>
        <w:keepNext w:val="0"/>
        <w:spacing w:before="0" w:after="120" w:line="276" w:lineRule="auto"/>
      </w:pPr>
      <w:r>
        <w:rPr>
          <w:rFonts w:ascii="Arial" w:hAnsi="Arial" w:cs="Arial" w:eastAsia="Arial"/>
          <w:b w:val="0"/>
          <w:i/>
          <w:color w:val="5B6678"/>
          <w:sz w:val="19"/>
        </w:rPr>
        <w:t>Guidance: Aim for a small number of objectives that matter, rather than a long list. Five to ten is usual. Each should answer: what are we trying to achieve, how will we know, and who is responsible?</w:t>
      </w:r>
    </w:p>
    <w:p>
      <w:pPr>
        <w:keepNext/>
        <w:spacing w:before="280" w:after="120" w:line="264" w:lineRule="auto"/>
      </w:pPr>
      <w:r>
        <w:rPr>
          <w:rFonts w:ascii="Arial" w:hAnsi="Arial" w:cs="Arial" w:eastAsia="Arial"/>
          <w:b/>
          <w:i w:val="0"/>
          <w:color w:val="1B253B"/>
          <w:sz w:val="28"/>
        </w:rPr>
        <w:t>3. The objectives</w:t>
      </w:r>
    </w:p>
    <w:tbl>
      <w:tblPr>
        <w:tblStyle w:val="TableGrid"/>
        <w:tblW w:type="auto" w:w="0"/>
        <w:jc w:val="center"/>
        <w:tblLayout w:type="fixed"/>
        <w:tblLook w:firstColumn="1" w:firstRow="1" w:lastColumn="0" w:lastRow="0" w:noHBand="0" w:noVBand="1" w:val="04A0"/>
        <w:tblCaption w:val="source:objectives"/>
      </w:tblPr>
      <w:tblGrid>
        <w:gridCol w:w="1529"/>
        <w:gridCol w:w="1529"/>
        <w:gridCol w:w="1529"/>
        <w:gridCol w:w="1529"/>
        <w:gridCol w:w="1529"/>
        <w:gridCol w:w="1529"/>
      </w:tblGrid>
      <w:tr>
        <w:trPr>
          <w:tblHeader w:val="true"/>
        </w:trPr>
        <w:tc>
          <w:tcPr>
            <w:tcW w:type="dxa" w:w="936"/>
            <w:shd w:val="clear" w:color="auto" w:fill="DCE6F5"/>
          </w:tcPr>
          <w:p>
            <w:pPr>
              <w:keepNext w:val="0"/>
              <w:spacing w:before="40" w:after="40" w:line="240" w:lineRule="auto"/>
            </w:pPr>
            <w:r>
              <w:rPr>
                <w:rFonts w:ascii="Arial" w:hAnsi="Arial" w:cs="Arial" w:eastAsia="Arial"/>
                <w:b/>
                <w:i w:val="0"/>
                <w:color w:val="1B253B"/>
                <w:sz w:val="18"/>
              </w:rPr>
              <w:t>Ref</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Objective</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Linked to</w:t>
            </w:r>
          </w:p>
        </w:tc>
        <w:tc>
          <w:tcPr>
            <w:tcW w:type="dxa" w:w="2520"/>
            <w:shd w:val="clear" w:color="auto" w:fill="DCE6F5"/>
          </w:tcPr>
          <w:p>
            <w:pPr>
              <w:keepNext w:val="0"/>
              <w:spacing w:before="40" w:after="40" w:line="240" w:lineRule="auto"/>
            </w:pPr>
            <w:r>
              <w:rPr>
                <w:rFonts w:ascii="Arial" w:hAnsi="Arial" w:cs="Arial" w:eastAsia="Arial"/>
                <w:b/>
                <w:i w:val="0"/>
                <w:color w:val="1B253B"/>
                <w:sz w:val="18"/>
              </w:rPr>
              <w:t>Measure and target</w:t>
            </w:r>
          </w:p>
        </w:tc>
        <w:tc>
          <w:tcPr>
            <w:tcW w:type="dxa" w:w="1224"/>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037"/>
            <w:shd w:val="clear" w:color="auto" w:fill="DCE6F5"/>
          </w:tcPr>
          <w:p>
            <w:pPr>
              <w:keepNext w:val="0"/>
              <w:spacing w:before="40" w:after="40" w:line="240" w:lineRule="auto"/>
            </w:pPr>
            <w:r>
              <w:rPr>
                <w:rFonts w:ascii="Arial" w:hAnsi="Arial" w:cs="Arial" w:eastAsia="Arial"/>
                <w:b/>
                <w:i w:val="0"/>
                <w:color w:val="1B253B"/>
                <w:sz w:val="18"/>
              </w:rPr>
              <w:t>Due</w:t>
            </w:r>
          </w:p>
        </w:tc>
      </w:tr>
      <w:tr>
        <w:trPr>
          <w:cantSplit w:val="true"/>
        </w:trPr>
        <w:tc>
          <w:tcPr>
            <w:tcW w:type="dxa" w:w="936"/>
          </w:tcPr>
          <w:p>
            <w:pPr>
              <w:keepNext w:val="0"/>
              <w:spacing w:before="40" w:after="40" w:line="240" w:lineRule="auto"/>
            </w:pPr>
            <w:r>
              <w:rPr>
                <w:rFonts w:ascii="Arial" w:hAnsi="Arial" w:cs="Arial" w:eastAsia="Arial"/>
                <w:b w:val="0"/>
                <w:i w:val="0"/>
                <w:sz w:val="18"/>
              </w:rPr>
              <w:t>OBJ-01</w:t>
            </w:r>
          </w:p>
        </w:tc>
        <w:tc>
          <w:tcPr>
            <w:tcW w:type="dxa" w:w="2016"/>
          </w:tcPr>
          <w:p>
            <w:pPr>
              <w:keepNext w:val="0"/>
              <w:spacing w:before="40" w:after="40" w:line="240" w:lineRule="auto"/>
            </w:pPr>
            <w:r>
              <w:rPr>
                <w:rFonts w:ascii="Arial" w:hAnsi="Arial" w:cs="Arial" w:eastAsia="Arial"/>
                <w:b w:val="0"/>
                <w:i w:val="0"/>
                <w:sz w:val="18"/>
              </w:rPr>
              <w:t>All staff complete security awareness training</w:t>
            </w:r>
          </w:p>
        </w:tc>
        <w:tc>
          <w:tcPr>
            <w:tcW w:type="dxa" w:w="1440"/>
          </w:tcPr>
          <w:p>
            <w:pPr>
              <w:keepNext w:val="0"/>
              <w:spacing w:before="40" w:after="40" w:line="240" w:lineRule="auto"/>
            </w:pPr>
            <w:r>
              <w:rPr>
                <w:rFonts w:ascii="Arial" w:hAnsi="Arial" w:cs="Arial" w:eastAsia="Arial"/>
                <w:b w:val="0"/>
                <w:i w:val="0"/>
                <w:sz w:val="18"/>
                <w:highlight w:val="yellow"/>
              </w:rPr>
              <w:t>&lt;Risk or requirement, for example human error&gt;</w:t>
            </w:r>
          </w:p>
        </w:tc>
        <w:tc>
          <w:tcPr>
            <w:tcW w:type="dxa" w:w="2520"/>
          </w:tcPr>
          <w:p>
            <w:pPr>
              <w:keepNext w:val="0"/>
              <w:spacing w:before="40" w:after="40" w:line="240" w:lineRule="auto"/>
            </w:pPr>
            <w:r>
              <w:rPr>
                <w:rFonts w:ascii="Arial" w:hAnsi="Arial" w:cs="Arial" w:eastAsia="Arial"/>
                <w:b w:val="0"/>
                <w:i w:val="0"/>
                <w:sz w:val="18"/>
              </w:rPr>
              <w:t xml:space="preserve">Percentage of staff trained within </w:t>
            </w:r>
            <w:sdt>
              <w:sdtPr>
                <w:alias w:val="30"/>
                <w:tag w:val="~"/>
              </w:sdtPr>
              <w:sdtContent>
                <w:r>
                  <w:rPr>
                    <w:rFonts w:ascii="Arial" w:hAnsi="Arial" w:cs="Arial" w:eastAsia="Arial"/>
                    <w:b w:val="0"/>
                    <w:i w:val="0"/>
                    <w:sz w:val="18"/>
                    <w:highlight w:val="yellow"/>
                  </w:rPr>
                  <w:t>&lt;30&gt;</w:t>
                </w:r>
              </w:sdtContent>
            </w:sdt>
            <w:r>
              <w:rPr>
                <w:rFonts w:ascii="Arial" w:hAnsi="Arial" w:cs="Arial" w:eastAsia="Arial"/>
                <w:b w:val="0"/>
                <w:i w:val="0"/>
                <w:sz w:val="18"/>
              </w:rPr>
              <w:t xml:space="preserve"> days of joining and every </w:t>
            </w:r>
            <w:sdt>
              <w:sdtPr>
                <w:alias w:val="12"/>
                <w:tag w:val="~"/>
              </w:sdtPr>
              <w:sdtContent>
                <w:r>
                  <w:rPr>
                    <w:rFonts w:ascii="Arial" w:hAnsi="Arial" w:cs="Arial" w:eastAsia="Arial"/>
                    <w:b w:val="0"/>
                    <w:i w:val="0"/>
                    <w:sz w:val="18"/>
                    <w:highlight w:val="yellow"/>
                  </w:rPr>
                  <w:t>&lt;12&gt;</w:t>
                </w:r>
              </w:sdtContent>
            </w:sdt>
            <w:r>
              <w:rPr>
                <w:rFonts w:ascii="Arial" w:hAnsi="Arial" w:cs="Arial" w:eastAsia="Arial"/>
                <w:b w:val="0"/>
                <w:i w:val="0"/>
                <w:sz w:val="18"/>
              </w:rPr>
              <w:t xml:space="preserve"> months. Target </w:t>
            </w:r>
            <w:sdt>
              <w:sdtPr>
                <w:alias w:val="100%"/>
                <w:tag w:val="~"/>
              </w:sdtPr>
              <w:sdtContent>
                <w:r>
                  <w:rPr>
                    <w:rFonts w:ascii="Arial" w:hAnsi="Arial" w:cs="Arial" w:eastAsia="Arial"/>
                    <w:b w:val="0"/>
                    <w:i w:val="0"/>
                    <w:sz w:val="18"/>
                    <w:highlight w:val="yellow"/>
                  </w:rPr>
                  <w:t>&lt;100%&gt;</w:t>
                </w:r>
              </w:sdtContent>
            </w:sdt>
            <w:r>
              <w:rPr>
                <w:rFonts w:ascii="Arial" w:hAnsi="Arial" w:cs="Arial" w:eastAsia="Arial"/>
                <w:b w:val="0"/>
                <w:i w:val="0"/>
                <w:sz w:val="18"/>
              </w:rPr>
              <w:t>.</w:t>
            </w:r>
          </w:p>
        </w:tc>
        <w:tc>
          <w:tcPr>
            <w:tcW w:type="dxa" w:w="1224"/>
          </w:tcPr>
          <w:p>
            <w:pPr>
              <w:keepNext w:val="0"/>
              <w:spacing w:before="40" w:after="40" w:line="240" w:lineRule="auto"/>
            </w:pPr>
            <w:sdt>
              <w:sdtPr>
                <w:alias w:val="HR lead"/>
                <w:tag w:val="~"/>
              </w:sdtPr>
              <w:sdtContent>
                <w:r>
                  <w:rPr>
                    <w:rFonts w:ascii="Arial" w:hAnsi="Arial" w:cs="Arial" w:eastAsia="Arial"/>
                    <w:b w:val="0"/>
                    <w:i w:val="0"/>
                    <w:sz w:val="18"/>
                    <w:highlight w:val="yellow"/>
                  </w:rPr>
                  <w:t>&lt;HR lead&gt;</w:t>
                </w:r>
              </w:sdtContent>
            </w:sdt>
          </w:p>
        </w:tc>
        <w:tc>
          <w:tcPr>
            <w:tcW w:type="dxa" w:w="103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936"/>
          </w:tcPr>
          <w:p>
            <w:pPr>
              <w:keepNext w:val="0"/>
              <w:spacing w:before="40" w:after="40" w:line="240" w:lineRule="auto"/>
            </w:pPr>
            <w:r>
              <w:rPr>
                <w:rFonts w:ascii="Arial" w:hAnsi="Arial" w:cs="Arial" w:eastAsia="Arial"/>
                <w:b w:val="0"/>
                <w:i w:val="0"/>
                <w:sz w:val="18"/>
              </w:rPr>
              <w:t>OBJ-02</w:t>
            </w:r>
          </w:p>
        </w:tc>
        <w:tc>
          <w:tcPr>
            <w:tcW w:type="dxa" w:w="2016"/>
          </w:tcPr>
          <w:p>
            <w:pPr>
              <w:keepNext w:val="0"/>
              <w:spacing w:before="40" w:after="40" w:line="240" w:lineRule="auto"/>
            </w:pPr>
            <w:r>
              <w:rPr>
                <w:rFonts w:ascii="Arial" w:hAnsi="Arial" w:cs="Arial" w:eastAsia="Arial"/>
                <w:b w:val="0"/>
                <w:i w:val="0"/>
                <w:sz w:val="18"/>
              </w:rPr>
              <w:t>Critical security patches are applied promptly</w:t>
            </w:r>
          </w:p>
        </w:tc>
        <w:tc>
          <w:tcPr>
            <w:tcW w:type="dxa" w:w="1440"/>
          </w:tcPr>
          <w:p>
            <w:pPr>
              <w:keepNext w:val="0"/>
              <w:spacing w:before="40" w:after="40" w:line="240" w:lineRule="auto"/>
            </w:pPr>
            <w:r>
              <w:rPr>
                <w:rFonts w:ascii="Arial" w:hAnsi="Arial" w:cs="Arial" w:eastAsia="Arial"/>
                <w:b w:val="0"/>
                <w:i w:val="0"/>
                <w:sz w:val="18"/>
                <w:highlight w:val="yellow"/>
              </w:rPr>
              <w:t>&lt;Vulnerability risks&gt;</w:t>
            </w:r>
          </w:p>
        </w:tc>
        <w:tc>
          <w:tcPr>
            <w:tcW w:type="dxa" w:w="2520"/>
          </w:tcPr>
          <w:p>
            <w:pPr>
              <w:keepNext w:val="0"/>
              <w:spacing w:before="40" w:after="40" w:line="240" w:lineRule="auto"/>
            </w:pPr>
            <w:r>
              <w:rPr>
                <w:rFonts w:ascii="Arial" w:hAnsi="Arial" w:cs="Arial" w:eastAsia="Arial"/>
                <w:b w:val="0"/>
                <w:i w:val="0"/>
                <w:sz w:val="18"/>
              </w:rPr>
              <w:t xml:space="preserve">Percentage of critical patches applied within </w:t>
            </w:r>
            <w:sdt>
              <w:sdtPr>
                <w:alias w:val="14"/>
                <w:tag w:val="~"/>
              </w:sdtPr>
              <w:sdtContent>
                <w:r>
                  <w:rPr>
                    <w:rFonts w:ascii="Arial" w:hAnsi="Arial" w:cs="Arial" w:eastAsia="Arial"/>
                    <w:b w:val="0"/>
                    <w:i w:val="0"/>
                    <w:sz w:val="18"/>
                    <w:highlight w:val="yellow"/>
                  </w:rPr>
                  <w:t>&lt;14&gt;</w:t>
                </w:r>
              </w:sdtContent>
            </w:sdt>
            <w:r>
              <w:rPr>
                <w:rFonts w:ascii="Arial" w:hAnsi="Arial" w:cs="Arial" w:eastAsia="Arial"/>
                <w:b w:val="0"/>
                <w:i w:val="0"/>
                <w:sz w:val="18"/>
              </w:rPr>
              <w:t xml:space="preserve"> days. Target </w:t>
            </w:r>
            <w:sdt>
              <w:sdtPr>
                <w:alias w:val="95%"/>
                <w:tag w:val="~"/>
              </w:sdtPr>
              <w:sdtContent>
                <w:r>
                  <w:rPr>
                    <w:rFonts w:ascii="Arial" w:hAnsi="Arial" w:cs="Arial" w:eastAsia="Arial"/>
                    <w:b w:val="0"/>
                    <w:i w:val="0"/>
                    <w:sz w:val="18"/>
                    <w:highlight w:val="yellow"/>
                  </w:rPr>
                  <w:t>&lt;95%&gt;</w:t>
                </w:r>
              </w:sdtContent>
            </w:sdt>
            <w:r>
              <w:rPr>
                <w:rFonts w:ascii="Arial" w:hAnsi="Arial" w:cs="Arial" w:eastAsia="Arial"/>
                <w:b w:val="0"/>
                <w:i w:val="0"/>
                <w:sz w:val="18"/>
              </w:rPr>
              <w:t>.</w:t>
            </w:r>
          </w:p>
        </w:tc>
        <w:tc>
          <w:tcPr>
            <w:tcW w:type="dxa" w:w="1224"/>
          </w:tcPr>
          <w:p>
            <w:pPr>
              <w:keepNext w:val="0"/>
              <w:spacing w:before="40" w:after="40" w:line="240" w:lineRule="auto"/>
            </w:pPr>
            <w:sdt>
              <w:sdtPr>
                <w:alias w:val="IT lead"/>
                <w:tag w:val="~"/>
              </w:sdtPr>
              <w:sdtContent>
                <w:r>
                  <w:rPr>
                    <w:rFonts w:ascii="Arial" w:hAnsi="Arial" w:cs="Arial" w:eastAsia="Arial"/>
                    <w:b w:val="0"/>
                    <w:i w:val="0"/>
                    <w:sz w:val="18"/>
                    <w:highlight w:val="yellow"/>
                  </w:rPr>
                  <w:t>&lt;IT lead&gt;</w:t>
                </w:r>
              </w:sdtContent>
            </w:sdt>
          </w:p>
        </w:tc>
        <w:tc>
          <w:tcPr>
            <w:tcW w:type="dxa" w:w="103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936"/>
          </w:tcPr>
          <w:p>
            <w:pPr>
              <w:keepNext w:val="0"/>
              <w:spacing w:before="40" w:after="40" w:line="240" w:lineRule="auto"/>
            </w:pPr>
            <w:r>
              <w:rPr>
                <w:rFonts w:ascii="Arial" w:hAnsi="Arial" w:cs="Arial" w:eastAsia="Arial"/>
                <w:b w:val="0"/>
                <w:i w:val="0"/>
                <w:sz w:val="18"/>
              </w:rPr>
              <w:t>OBJ-03</w:t>
            </w:r>
          </w:p>
        </w:tc>
        <w:tc>
          <w:tcPr>
            <w:tcW w:type="dxa" w:w="2016"/>
          </w:tcPr>
          <w:p>
            <w:pPr>
              <w:keepNext w:val="0"/>
              <w:spacing w:before="40" w:after="40" w:line="240" w:lineRule="auto"/>
            </w:pPr>
            <w:r>
              <w:rPr>
                <w:rFonts w:ascii="Arial" w:hAnsi="Arial" w:cs="Arial" w:eastAsia="Arial"/>
                <w:b w:val="0"/>
                <w:i w:val="0"/>
                <w:sz w:val="18"/>
              </w:rPr>
              <w:t>Multi-factor authentication on all accounts that can reach customer data</w:t>
            </w:r>
          </w:p>
        </w:tc>
        <w:tc>
          <w:tcPr>
            <w:tcW w:type="dxa" w:w="1440"/>
          </w:tcPr>
          <w:p>
            <w:pPr>
              <w:keepNext w:val="0"/>
              <w:spacing w:before="40" w:after="40" w:line="240" w:lineRule="auto"/>
            </w:pPr>
            <w:r>
              <w:rPr>
                <w:rFonts w:ascii="Arial" w:hAnsi="Arial" w:cs="Arial" w:eastAsia="Arial"/>
                <w:b w:val="0"/>
                <w:i w:val="0"/>
                <w:sz w:val="18"/>
                <w:highlight w:val="yellow"/>
              </w:rPr>
              <w:t>&lt;Access risks&gt;</w:t>
            </w:r>
          </w:p>
        </w:tc>
        <w:tc>
          <w:tcPr>
            <w:tcW w:type="dxa" w:w="2520"/>
          </w:tcPr>
          <w:p>
            <w:pPr>
              <w:keepNext w:val="0"/>
              <w:spacing w:before="40" w:after="40" w:line="240" w:lineRule="auto"/>
            </w:pPr>
            <w:r>
              <w:rPr>
                <w:rFonts w:ascii="Arial" w:hAnsi="Arial" w:cs="Arial" w:eastAsia="Arial"/>
                <w:b w:val="0"/>
                <w:i w:val="0"/>
                <w:sz w:val="18"/>
              </w:rPr>
              <w:t xml:space="preserve">Percentage of in-scope accounts using multi-factor authentication. Target </w:t>
            </w:r>
            <w:sdt>
              <w:sdtPr>
                <w:alias w:val="100%"/>
                <w:tag w:val="~"/>
              </w:sdtPr>
              <w:sdtContent>
                <w:r>
                  <w:rPr>
                    <w:rFonts w:ascii="Arial" w:hAnsi="Arial" w:cs="Arial" w:eastAsia="Arial"/>
                    <w:b w:val="0"/>
                    <w:i w:val="0"/>
                    <w:sz w:val="18"/>
                    <w:highlight w:val="yellow"/>
                  </w:rPr>
                  <w:t>&lt;100%&gt;</w:t>
                </w:r>
              </w:sdtContent>
            </w:sdt>
            <w:r>
              <w:rPr>
                <w:rFonts w:ascii="Arial" w:hAnsi="Arial" w:cs="Arial" w:eastAsia="Arial"/>
                <w:b w:val="0"/>
                <w:i w:val="0"/>
                <w:sz w:val="18"/>
              </w:rPr>
              <w:t>.</w:t>
            </w:r>
          </w:p>
        </w:tc>
        <w:tc>
          <w:tcPr>
            <w:tcW w:type="dxa" w:w="1224"/>
          </w:tcPr>
          <w:p>
            <w:pPr>
              <w:keepNext w:val="0"/>
              <w:spacing w:before="40" w:after="40" w:line="240" w:lineRule="auto"/>
            </w:pPr>
            <w:sdt>
              <w:sdtPr>
                <w:alias w:val="IT lead"/>
                <w:tag w:val="~"/>
              </w:sdtPr>
              <w:sdtContent>
                <w:r>
                  <w:rPr>
                    <w:rFonts w:ascii="Arial" w:hAnsi="Arial" w:cs="Arial" w:eastAsia="Arial"/>
                    <w:b w:val="0"/>
                    <w:i w:val="0"/>
                    <w:sz w:val="18"/>
                    <w:highlight w:val="yellow"/>
                  </w:rPr>
                  <w:t>&lt;IT lead&gt;</w:t>
                </w:r>
              </w:sdtContent>
            </w:sdt>
          </w:p>
        </w:tc>
        <w:tc>
          <w:tcPr>
            <w:tcW w:type="dxa" w:w="103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936"/>
          </w:tcPr>
          <w:p>
            <w:pPr>
              <w:keepNext w:val="0"/>
              <w:spacing w:before="40" w:after="40" w:line="240" w:lineRule="auto"/>
            </w:pPr>
            <w:r>
              <w:rPr>
                <w:rFonts w:ascii="Arial" w:hAnsi="Arial" w:cs="Arial" w:eastAsia="Arial"/>
                <w:b w:val="0"/>
                <w:i w:val="0"/>
                <w:sz w:val="18"/>
              </w:rPr>
              <w:t>OBJ-04</w:t>
            </w:r>
          </w:p>
        </w:tc>
        <w:tc>
          <w:tcPr>
            <w:tcW w:type="dxa" w:w="2016"/>
          </w:tcPr>
          <w:p>
            <w:pPr>
              <w:keepNext w:val="0"/>
              <w:spacing w:before="40" w:after="40" w:line="240" w:lineRule="auto"/>
            </w:pPr>
            <w:r>
              <w:rPr>
                <w:rFonts w:ascii="Arial" w:hAnsi="Arial" w:cs="Arial" w:eastAsia="Arial"/>
                <w:b w:val="0"/>
                <w:i w:val="0"/>
                <w:sz w:val="18"/>
              </w:rPr>
              <w:t>Backups can be restored</w:t>
            </w:r>
          </w:p>
        </w:tc>
        <w:tc>
          <w:tcPr>
            <w:tcW w:type="dxa" w:w="1440"/>
          </w:tcPr>
          <w:p>
            <w:pPr>
              <w:keepNext w:val="0"/>
              <w:spacing w:before="40" w:after="40" w:line="240" w:lineRule="auto"/>
            </w:pPr>
            <w:r>
              <w:rPr>
                <w:rFonts w:ascii="Arial" w:hAnsi="Arial" w:cs="Arial" w:eastAsia="Arial"/>
                <w:b w:val="0"/>
                <w:i w:val="0"/>
                <w:sz w:val="18"/>
                <w:highlight w:val="yellow"/>
              </w:rPr>
              <w:t>&lt;Availability risks&gt;</w:t>
            </w:r>
          </w:p>
        </w:tc>
        <w:tc>
          <w:tcPr>
            <w:tcW w:type="dxa" w:w="2520"/>
          </w:tcPr>
          <w:p>
            <w:pPr>
              <w:keepNext w:val="0"/>
              <w:spacing w:before="40" w:after="40" w:line="240" w:lineRule="auto"/>
            </w:pPr>
            <w:r>
              <w:rPr>
                <w:rFonts w:ascii="Arial" w:hAnsi="Arial" w:cs="Arial" w:eastAsia="Arial"/>
                <w:b w:val="0"/>
                <w:i w:val="0"/>
                <w:sz w:val="18"/>
              </w:rPr>
              <w:t xml:space="preserve">Number of successful restore tests each </w:t>
            </w:r>
            <w:sdt>
              <w:sdtPr>
                <w:alias w:val="quarter"/>
                <w:tag w:val="~"/>
              </w:sdtPr>
              <w:sdtContent>
                <w:r>
                  <w:rPr>
                    <w:rFonts w:ascii="Arial" w:hAnsi="Arial" w:cs="Arial" w:eastAsia="Arial"/>
                    <w:b w:val="0"/>
                    <w:i w:val="0"/>
                    <w:sz w:val="18"/>
                    <w:highlight w:val="yellow"/>
                  </w:rPr>
                  <w:t>&lt;quarter&gt;</w:t>
                </w:r>
              </w:sdtContent>
            </w:sdt>
            <w:r>
              <w:rPr>
                <w:rFonts w:ascii="Arial" w:hAnsi="Arial" w:cs="Arial" w:eastAsia="Arial"/>
                <w:b w:val="0"/>
                <w:i w:val="0"/>
                <w:sz w:val="18"/>
              </w:rPr>
              <w:t xml:space="preserve">. Target at least </w:t>
            </w:r>
            <w:sdt>
              <w:sdtPr>
                <w:alias w:val="1"/>
                <w:tag w:val="~"/>
              </w:sdtPr>
              <w:sdtContent>
                <w:r>
                  <w:rPr>
                    <w:rFonts w:ascii="Arial" w:hAnsi="Arial" w:cs="Arial" w:eastAsia="Arial"/>
                    <w:b w:val="0"/>
                    <w:i w:val="0"/>
                    <w:sz w:val="18"/>
                    <w:highlight w:val="yellow"/>
                  </w:rPr>
                  <w:t>&lt;1&gt;</w:t>
                </w:r>
              </w:sdtContent>
            </w:sdt>
            <w:r>
              <w:rPr>
                <w:rFonts w:ascii="Arial" w:hAnsi="Arial" w:cs="Arial" w:eastAsia="Arial"/>
                <w:b w:val="0"/>
                <w:i w:val="0"/>
                <w:sz w:val="18"/>
              </w:rPr>
              <w:t>.</w:t>
            </w:r>
          </w:p>
        </w:tc>
        <w:tc>
          <w:tcPr>
            <w:tcW w:type="dxa" w:w="1224"/>
          </w:tcPr>
          <w:p>
            <w:pPr>
              <w:keepNext w:val="0"/>
              <w:spacing w:before="40" w:after="40" w:line="240" w:lineRule="auto"/>
            </w:pPr>
            <w:sdt>
              <w:sdtPr>
                <w:alias w:val="IT lead"/>
                <w:tag w:val="~"/>
              </w:sdtPr>
              <w:sdtContent>
                <w:r>
                  <w:rPr>
                    <w:rFonts w:ascii="Arial" w:hAnsi="Arial" w:cs="Arial" w:eastAsia="Arial"/>
                    <w:b w:val="0"/>
                    <w:i w:val="0"/>
                    <w:sz w:val="18"/>
                    <w:highlight w:val="yellow"/>
                  </w:rPr>
                  <w:t>&lt;IT lead&gt;</w:t>
                </w:r>
              </w:sdtContent>
            </w:sdt>
          </w:p>
        </w:tc>
        <w:tc>
          <w:tcPr>
            <w:tcW w:type="dxa" w:w="103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936"/>
          </w:tcPr>
          <w:p>
            <w:pPr>
              <w:keepNext w:val="0"/>
              <w:spacing w:before="40" w:after="40" w:line="240" w:lineRule="auto"/>
            </w:pPr>
            <w:r>
              <w:rPr>
                <w:rFonts w:ascii="Arial" w:hAnsi="Arial" w:cs="Arial" w:eastAsia="Arial"/>
                <w:b w:val="0"/>
                <w:i w:val="0"/>
                <w:sz w:val="18"/>
              </w:rPr>
              <w:t>OBJ-05</w:t>
            </w:r>
          </w:p>
        </w:tc>
        <w:tc>
          <w:tcPr>
            <w:tcW w:type="dxa" w:w="2016"/>
          </w:tcPr>
          <w:p>
            <w:pPr>
              <w:keepNext w:val="0"/>
              <w:spacing w:before="40" w:after="40" w:line="240" w:lineRule="auto"/>
            </w:pPr>
            <w:r>
              <w:rPr>
                <w:rFonts w:ascii="Arial" w:hAnsi="Arial" w:cs="Arial" w:eastAsia="Arial"/>
                <w:b w:val="0"/>
                <w:i w:val="0"/>
                <w:sz w:val="18"/>
              </w:rPr>
              <w:t>Incidents are handled quickly</w:t>
            </w:r>
          </w:p>
        </w:tc>
        <w:tc>
          <w:tcPr>
            <w:tcW w:type="dxa" w:w="1440"/>
          </w:tcPr>
          <w:p>
            <w:pPr>
              <w:keepNext w:val="0"/>
              <w:spacing w:before="40" w:after="40" w:line="240" w:lineRule="auto"/>
            </w:pPr>
            <w:r>
              <w:rPr>
                <w:rFonts w:ascii="Arial" w:hAnsi="Arial" w:cs="Arial" w:eastAsia="Arial"/>
                <w:b w:val="0"/>
                <w:i w:val="0"/>
                <w:sz w:val="18"/>
                <w:highlight w:val="yellow"/>
              </w:rPr>
              <w:t>&lt;Incident risks&gt;</w:t>
            </w:r>
          </w:p>
        </w:tc>
        <w:tc>
          <w:tcPr>
            <w:tcW w:type="dxa" w:w="2520"/>
          </w:tcPr>
          <w:p>
            <w:pPr>
              <w:keepNext w:val="0"/>
              <w:spacing w:before="40" w:after="40" w:line="240" w:lineRule="auto"/>
            </w:pPr>
            <w:r>
              <w:rPr>
                <w:rFonts w:ascii="Arial" w:hAnsi="Arial" w:cs="Arial" w:eastAsia="Arial"/>
                <w:b w:val="0"/>
                <w:i w:val="0"/>
                <w:sz w:val="18"/>
              </w:rPr>
              <w:t xml:space="preserve">Percentage of incidents closed within </w:t>
            </w:r>
            <w:sdt>
              <w:sdtPr>
                <w:alias w:val="the agreed time"/>
                <w:tag w:val="~"/>
              </w:sdtPr>
              <w:sdtContent>
                <w:r>
                  <w:rPr>
                    <w:rFonts w:ascii="Arial" w:hAnsi="Arial" w:cs="Arial" w:eastAsia="Arial"/>
                    <w:b w:val="0"/>
                    <w:i w:val="0"/>
                    <w:sz w:val="18"/>
                    <w:highlight w:val="yellow"/>
                  </w:rPr>
                  <w:t>&lt;the agreed time&gt;</w:t>
                </w:r>
              </w:sdtContent>
            </w:sdt>
            <w:r>
              <w:rPr>
                <w:rFonts w:ascii="Arial" w:hAnsi="Arial" w:cs="Arial" w:eastAsia="Arial"/>
                <w:b w:val="0"/>
                <w:i w:val="0"/>
                <w:sz w:val="18"/>
              </w:rPr>
              <w:t xml:space="preserve">. Target </w:t>
            </w:r>
            <w:sdt>
              <w:sdtPr>
                <w:alias w:val="90%"/>
                <w:tag w:val="~"/>
              </w:sdtPr>
              <w:sdtContent>
                <w:r>
                  <w:rPr>
                    <w:rFonts w:ascii="Arial" w:hAnsi="Arial" w:cs="Arial" w:eastAsia="Arial"/>
                    <w:b w:val="0"/>
                    <w:i w:val="0"/>
                    <w:sz w:val="18"/>
                    <w:highlight w:val="yellow"/>
                  </w:rPr>
                  <w:t>&lt;90%&gt;</w:t>
                </w:r>
              </w:sdtContent>
            </w:sdt>
            <w:r>
              <w:rPr>
                <w:rFonts w:ascii="Arial" w:hAnsi="Arial" w:cs="Arial" w:eastAsia="Arial"/>
                <w:b w:val="0"/>
                <w:i w:val="0"/>
                <w:sz w:val="18"/>
              </w:rPr>
              <w:t>.</w:t>
            </w:r>
          </w:p>
        </w:tc>
        <w:tc>
          <w:tcPr>
            <w:tcW w:type="dxa" w:w="1224"/>
          </w:tcPr>
          <w:p>
            <w:pPr>
              <w:keepNext w:val="0"/>
              <w:spacing w:before="40" w:after="40" w:line="240" w:lineRule="auto"/>
            </w:pPr>
            <w:sdt>
              <w:sdtPr>
                <w:alias w:val="ISMS Manager"/>
                <w:tag w:val="~"/>
              </w:sdtPr>
              <w:sdtContent>
                <w:r>
                  <w:rPr>
                    <w:rFonts w:ascii="Arial" w:hAnsi="Arial" w:cs="Arial" w:eastAsia="Arial"/>
                    <w:b w:val="0"/>
                    <w:i w:val="0"/>
                    <w:sz w:val="18"/>
                    <w:highlight w:val="yellow"/>
                  </w:rPr>
                  <w:t>&lt;ISMS Manager&gt;</w:t>
                </w:r>
              </w:sdtContent>
            </w:sdt>
          </w:p>
        </w:tc>
        <w:tc>
          <w:tcPr>
            <w:tcW w:type="dxa" w:w="103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936"/>
          </w:tcPr>
          <w:p>
            <w:pPr>
              <w:keepNext w:val="0"/>
              <w:spacing w:before="40" w:after="40" w:line="240" w:lineRule="auto"/>
            </w:pPr>
            <w:r>
              <w:rPr>
                <w:rFonts w:ascii="Arial" w:hAnsi="Arial" w:cs="Arial" w:eastAsia="Arial"/>
                <w:b w:val="0"/>
                <w:i w:val="0"/>
                <w:sz w:val="18"/>
              </w:rPr>
              <w:t>OBJ-06</w:t>
            </w:r>
          </w:p>
        </w:tc>
        <w:tc>
          <w:tcPr>
            <w:tcW w:type="dxa" w:w="2016"/>
          </w:tcPr>
          <w:p>
            <w:pPr>
              <w:keepNext w:val="0"/>
              <w:spacing w:before="40" w:after="40" w:line="240" w:lineRule="auto"/>
            </w:pPr>
            <w:r>
              <w:rPr>
                <w:rFonts w:ascii="Arial" w:hAnsi="Arial" w:cs="Arial" w:eastAsia="Arial"/>
                <w:b w:val="0"/>
                <w:i w:val="0"/>
                <w:sz w:val="18"/>
              </w:rPr>
              <w:t>Suppliers that matter are assessed</w:t>
            </w:r>
          </w:p>
        </w:tc>
        <w:tc>
          <w:tcPr>
            <w:tcW w:type="dxa" w:w="1440"/>
          </w:tcPr>
          <w:p>
            <w:pPr>
              <w:keepNext w:val="0"/>
              <w:spacing w:before="40" w:after="40" w:line="240" w:lineRule="auto"/>
            </w:pPr>
            <w:r>
              <w:rPr>
                <w:rFonts w:ascii="Arial" w:hAnsi="Arial" w:cs="Arial" w:eastAsia="Arial"/>
                <w:b w:val="0"/>
                <w:i w:val="0"/>
                <w:sz w:val="18"/>
                <w:highlight w:val="yellow"/>
              </w:rPr>
              <w:t>&lt;Supplier risks&gt;</w:t>
            </w:r>
          </w:p>
        </w:tc>
        <w:tc>
          <w:tcPr>
            <w:tcW w:type="dxa" w:w="2520"/>
          </w:tcPr>
          <w:p>
            <w:pPr>
              <w:keepNext w:val="0"/>
              <w:spacing w:before="40" w:after="40" w:line="240" w:lineRule="auto"/>
            </w:pPr>
            <w:r>
              <w:rPr>
                <w:rFonts w:ascii="Arial" w:hAnsi="Arial" w:cs="Arial" w:eastAsia="Arial"/>
                <w:b w:val="0"/>
                <w:i w:val="0"/>
                <w:sz w:val="18"/>
              </w:rPr>
              <w:t xml:space="preserve">Percentage of critical suppliers assessed in the last </w:t>
            </w:r>
            <w:sdt>
              <w:sdtPr>
                <w:alias w:val="12"/>
                <w:tag w:val="~"/>
              </w:sdtPr>
              <w:sdtContent>
                <w:r>
                  <w:rPr>
                    <w:rFonts w:ascii="Arial" w:hAnsi="Arial" w:cs="Arial" w:eastAsia="Arial"/>
                    <w:b w:val="0"/>
                    <w:i w:val="0"/>
                    <w:sz w:val="18"/>
                    <w:highlight w:val="yellow"/>
                  </w:rPr>
                  <w:t>&lt;12&gt;</w:t>
                </w:r>
              </w:sdtContent>
            </w:sdt>
            <w:r>
              <w:rPr>
                <w:rFonts w:ascii="Arial" w:hAnsi="Arial" w:cs="Arial" w:eastAsia="Arial"/>
                <w:b w:val="0"/>
                <w:i w:val="0"/>
                <w:sz w:val="18"/>
              </w:rPr>
              <w:t xml:space="preserve"> months. Target </w:t>
            </w:r>
            <w:sdt>
              <w:sdtPr>
                <w:alias w:val="100%"/>
                <w:tag w:val="~"/>
              </w:sdtPr>
              <w:sdtContent>
                <w:r>
                  <w:rPr>
                    <w:rFonts w:ascii="Arial" w:hAnsi="Arial" w:cs="Arial" w:eastAsia="Arial"/>
                    <w:b w:val="0"/>
                    <w:i w:val="0"/>
                    <w:sz w:val="18"/>
                    <w:highlight w:val="yellow"/>
                  </w:rPr>
                  <w:t>&lt;100%&gt;</w:t>
                </w:r>
              </w:sdtContent>
            </w:sdt>
            <w:r>
              <w:rPr>
                <w:rFonts w:ascii="Arial" w:hAnsi="Arial" w:cs="Arial" w:eastAsia="Arial"/>
                <w:b w:val="0"/>
                <w:i w:val="0"/>
                <w:sz w:val="18"/>
              </w:rPr>
              <w:t>.</w:t>
            </w:r>
          </w:p>
        </w:tc>
        <w:tc>
          <w:tcPr>
            <w:tcW w:type="dxa" w:w="1224"/>
          </w:tcPr>
          <w:p>
            <w:pPr>
              <w:keepNext w:val="0"/>
              <w:spacing w:before="40" w:after="40" w:line="240" w:lineRule="auto"/>
            </w:pPr>
            <w:sdt>
              <w:sdtPr>
                <w:alias w:val="Procurement lead"/>
                <w:tag w:val="~"/>
              </w:sdtPr>
              <w:sdtContent>
                <w:r>
                  <w:rPr>
                    <w:rFonts w:ascii="Arial" w:hAnsi="Arial" w:cs="Arial" w:eastAsia="Arial"/>
                    <w:b w:val="0"/>
                    <w:i w:val="0"/>
                    <w:sz w:val="18"/>
                    <w:highlight w:val="yellow"/>
                  </w:rPr>
                  <w:t>&lt;Procurement lead&gt;</w:t>
                </w:r>
              </w:sdtContent>
            </w:sdt>
          </w:p>
        </w:tc>
        <w:tc>
          <w:tcPr>
            <w:tcW w:type="dxa" w:w="103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936"/>
          </w:tcPr>
          <w:p>
            <w:pPr>
              <w:keepNext w:val="0"/>
              <w:spacing w:before="40" w:after="40" w:line="240" w:lineRule="auto"/>
            </w:pPr>
            <w:r>
              <w:rPr>
                <w:rFonts w:ascii="Arial" w:hAnsi="Arial" w:cs="Arial" w:eastAsia="Arial"/>
                <w:b w:val="0"/>
                <w:i w:val="0"/>
                <w:sz w:val="18"/>
              </w:rPr>
              <w:t>OBJ-07</w:t>
            </w:r>
          </w:p>
        </w:tc>
        <w:tc>
          <w:tcPr>
            <w:tcW w:type="dxa" w:w="2016"/>
          </w:tcPr>
          <w:p>
            <w:pPr>
              <w:keepNext w:val="0"/>
              <w:spacing w:before="40" w:after="40" w:line="240" w:lineRule="auto"/>
            </w:pPr>
            <w:r>
              <w:rPr>
                <w:rFonts w:ascii="Arial" w:hAnsi="Arial" w:cs="Arial" w:eastAsia="Arial"/>
                <w:b w:val="0"/>
                <w:i w:val="0"/>
                <w:sz w:val="18"/>
              </w:rPr>
              <w:t>Audit findings are closed on time</w:t>
            </w:r>
          </w:p>
        </w:tc>
        <w:tc>
          <w:tcPr>
            <w:tcW w:type="dxa" w:w="1440"/>
          </w:tcPr>
          <w:p>
            <w:pPr>
              <w:keepNext w:val="0"/>
              <w:spacing w:before="40" w:after="40" w:line="240" w:lineRule="auto"/>
            </w:pPr>
            <w:r>
              <w:rPr>
                <w:rFonts w:ascii="Arial" w:hAnsi="Arial" w:cs="Arial" w:eastAsia="Arial"/>
                <w:b w:val="0"/>
                <w:i w:val="0"/>
                <w:sz w:val="18"/>
                <w:highlight w:val="yellow"/>
              </w:rPr>
              <w:t>&lt;ISMS performance&gt;</w:t>
            </w:r>
          </w:p>
        </w:tc>
        <w:tc>
          <w:tcPr>
            <w:tcW w:type="dxa" w:w="2520"/>
          </w:tcPr>
          <w:p>
            <w:pPr>
              <w:keepNext w:val="0"/>
              <w:spacing w:before="40" w:after="40" w:line="240" w:lineRule="auto"/>
            </w:pPr>
            <w:r>
              <w:rPr>
                <w:rFonts w:ascii="Arial" w:hAnsi="Arial" w:cs="Arial" w:eastAsia="Arial"/>
                <w:b w:val="0"/>
                <w:i w:val="0"/>
                <w:sz w:val="18"/>
              </w:rPr>
              <w:t xml:space="preserve">Percentage of nonconformities closed by their due date. Target </w:t>
            </w:r>
            <w:sdt>
              <w:sdtPr>
                <w:alias w:val="90%"/>
                <w:tag w:val="~"/>
              </w:sdtPr>
              <w:sdtContent>
                <w:r>
                  <w:rPr>
                    <w:rFonts w:ascii="Arial" w:hAnsi="Arial" w:cs="Arial" w:eastAsia="Arial"/>
                    <w:b w:val="0"/>
                    <w:i w:val="0"/>
                    <w:sz w:val="18"/>
                    <w:highlight w:val="yellow"/>
                  </w:rPr>
                  <w:t>&lt;90%&gt;</w:t>
                </w:r>
              </w:sdtContent>
            </w:sdt>
            <w:r>
              <w:rPr>
                <w:rFonts w:ascii="Arial" w:hAnsi="Arial" w:cs="Arial" w:eastAsia="Arial"/>
                <w:b w:val="0"/>
                <w:i w:val="0"/>
                <w:sz w:val="18"/>
              </w:rPr>
              <w:t>.</w:t>
            </w:r>
          </w:p>
        </w:tc>
        <w:tc>
          <w:tcPr>
            <w:tcW w:type="dxa" w:w="1224"/>
          </w:tcPr>
          <w:p>
            <w:pPr>
              <w:keepNext w:val="0"/>
              <w:spacing w:before="40" w:after="40" w:line="240" w:lineRule="auto"/>
            </w:pPr>
            <w:sdt>
              <w:sdtPr>
                <w:alias w:val="ISMS Manager"/>
                <w:tag w:val="~"/>
              </w:sdtPr>
              <w:sdtContent>
                <w:r>
                  <w:rPr>
                    <w:rFonts w:ascii="Arial" w:hAnsi="Arial" w:cs="Arial" w:eastAsia="Arial"/>
                    <w:b w:val="0"/>
                    <w:i w:val="0"/>
                    <w:sz w:val="18"/>
                    <w:highlight w:val="yellow"/>
                  </w:rPr>
                  <w:t>&lt;ISMS Manager&gt;</w:t>
                </w:r>
              </w:sdtContent>
            </w:sdt>
          </w:p>
        </w:tc>
        <w:tc>
          <w:tcPr>
            <w:tcW w:type="dxa" w:w="103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936"/>
          </w:tcPr>
          <w:p>
            <w:pPr>
              <w:keepNext w:val="0"/>
              <w:spacing w:before="40" w:after="40" w:line="240" w:lineRule="auto"/>
            </w:pPr>
            <w:r>
              <w:rPr>
                <w:rFonts w:ascii="Arial" w:hAnsi="Arial" w:cs="Arial" w:eastAsia="Arial"/>
                <w:b w:val="0"/>
                <w:i w:val="0"/>
                <w:sz w:val="18"/>
              </w:rPr>
              <w:t>OBJ-08</w:t>
            </w:r>
          </w:p>
        </w:tc>
        <w:tc>
          <w:tcPr>
            <w:tcW w:type="dxa" w:w="2016"/>
          </w:tcPr>
          <w:p>
            <w:pPr>
              <w:keepNext w:val="0"/>
              <w:spacing w:before="40" w:after="40" w:line="240" w:lineRule="auto"/>
            </w:pPr>
            <w:r>
              <w:rPr>
                <w:rFonts w:ascii="Arial" w:hAnsi="Arial" w:cs="Arial" w:eastAsia="Arial"/>
                <w:b w:val="0"/>
                <w:i w:val="0"/>
                <w:sz w:val="18"/>
                <w:highlight w:val="yellow"/>
              </w:rPr>
              <w:t>&lt;Your own objective&gt;</w:t>
            </w:r>
          </w:p>
        </w:tc>
        <w:tc>
          <w:tcPr>
            <w:tcW w:type="dxa" w:w="1440"/>
          </w:tcPr>
          <w:p>
            <w:pPr>
              <w:keepNext w:val="0"/>
              <w:spacing w:before="40" w:after="40" w:line="240" w:lineRule="auto"/>
            </w:pPr>
            <w:r>
              <w:rPr>
                <w:rFonts w:ascii="Arial" w:hAnsi="Arial" w:cs="Arial" w:eastAsia="Arial"/>
                <w:b w:val="0"/>
                <w:i w:val="0"/>
                <w:sz w:val="18"/>
                <w:highlight w:val="yellow"/>
              </w:rPr>
              <w:t>&lt;Link&gt;</w:t>
            </w:r>
          </w:p>
        </w:tc>
        <w:tc>
          <w:tcPr>
            <w:tcW w:type="dxa" w:w="2520"/>
          </w:tcPr>
          <w:p>
            <w:pPr>
              <w:keepNext w:val="0"/>
              <w:spacing w:before="40" w:after="40" w:line="240" w:lineRule="auto"/>
            </w:pPr>
            <w:r>
              <w:rPr>
                <w:rFonts w:ascii="Arial" w:hAnsi="Arial" w:cs="Arial" w:eastAsia="Arial"/>
                <w:b w:val="0"/>
                <w:i w:val="0"/>
                <w:sz w:val="18"/>
                <w:highlight w:val="yellow"/>
              </w:rPr>
              <w:t>&lt;Measure and target&gt;</w:t>
            </w:r>
          </w:p>
        </w:tc>
        <w:tc>
          <w:tcPr>
            <w:tcW w:type="dxa" w:w="1224"/>
          </w:tcPr>
          <w:p>
            <w:pPr>
              <w:keepNext w:val="0"/>
              <w:spacing w:before="40" w:after="40" w:line="240" w:lineRule="auto"/>
            </w:pPr>
            <w:r>
              <w:rPr>
                <w:rFonts w:ascii="Arial" w:hAnsi="Arial" w:cs="Arial" w:eastAsia="Arial"/>
                <w:b w:val="0"/>
                <w:i w:val="0"/>
                <w:sz w:val="18"/>
                <w:highlight w:val="yellow"/>
              </w:rPr>
              <w:t>&lt;Owner&gt;</w:t>
            </w:r>
          </w:p>
        </w:tc>
        <w:tc>
          <w:tcPr>
            <w:tcW w:type="dxa" w:w="1037"/>
          </w:tcPr>
          <w:p>
            <w:pPr>
              <w:keepNext w:val="0"/>
              <w:spacing w:before="40" w:after="40" w:line="240" w:lineRule="auto"/>
            </w:pPr>
            <w:r>
              <w:rPr>
                <w:rFonts w:ascii="Arial" w:hAnsi="Arial" w:cs="Arial" w:eastAsia="Arial"/>
                <w:b w:val="0"/>
                <w:i w:val="0"/>
                <w:sz w:val="18"/>
                <w:highlight w:val="yellow"/>
              </w:rPr>
              <w:t>&lt;Date&gt;</w:t>
            </w:r>
          </w:p>
        </w:tc>
      </w:tr>
    </w:tbl>
    <w:p>
      <w:pPr>
        <w:keepNext w:val="0"/>
        <w:spacing w:before="0" w:after="80" w:line="240" w:lineRule="auto"/>
      </w:pPr>
    </w:p>
    <w:p>
      <w:pPr>
        <w:keepNext w:val="0"/>
        <w:spacing w:before="0" w:after="120" w:line="276" w:lineRule="auto"/>
      </w:pPr>
      <w:r>
        <w:rPr>
          <w:rFonts w:ascii="Arial" w:hAnsi="Arial" w:cs="Arial" w:eastAsia="Arial"/>
          <w:b w:val="0"/>
          <w:i/>
          <w:color w:val="5B6678"/>
          <w:sz w:val="19"/>
        </w:rPr>
        <w:t>Guidance: The rows above are examples that many organisations use. Keep the ones that fit your risks, change the targets to ones you can defend, and delete the rest.</w:t>
      </w:r>
    </w:p>
    <w:p>
      <w:pPr>
        <w:keepNext/>
        <w:spacing w:before="280" w:after="120" w:line="264" w:lineRule="auto"/>
      </w:pPr>
      <w:r>
        <w:rPr>
          <w:rFonts w:ascii="Arial" w:hAnsi="Arial" w:cs="Arial" w:eastAsia="Arial"/>
          <w:b/>
          <w:i w:val="0"/>
          <w:color w:val="1B253B"/>
          <w:sz w:val="28"/>
        </w:rPr>
        <w:t>4. How each objective will be achieved</w:t>
      </w:r>
    </w:p>
    <w:p>
      <w:pPr>
        <w:keepNext w:val="0"/>
        <w:spacing w:before="0" w:after="120" w:line="276" w:lineRule="auto"/>
      </w:pPr>
      <w:r>
        <w:rPr>
          <w:rFonts w:ascii="Arial" w:hAnsi="Arial" w:cs="Arial" w:eastAsia="Arial"/>
          <w:b w:val="0"/>
          <w:i w:val="0"/>
          <w:sz w:val="21"/>
        </w:rPr>
        <w:t>For each objective, ISO/IEC 27001 clause 6.2 asks: what will be done, what resources are needed, who will be responsible, when it will be completed, and how the results will be evaluated.</w:t>
      </w:r>
    </w:p>
    <w:tbl>
      <w:tblPr>
        <w:tblStyle w:val="TableGrid"/>
        <w:tblW w:type="auto" w:w="0"/>
        <w:jc w:val="center"/>
        <w:tblLayout w:type="fixed"/>
        <w:tblLook w:firstColumn="1" w:firstRow="1" w:lastColumn="0" w:lastRow="0" w:noHBand="0" w:noVBand="1" w:val="04A0"/>
        <w:tblCaption w:val="source:objective_plans"/>
      </w:tblPr>
      <w:tblGrid>
        <w:gridCol w:w="1529"/>
        <w:gridCol w:w="1529"/>
        <w:gridCol w:w="1529"/>
        <w:gridCol w:w="1529"/>
        <w:gridCol w:w="1529"/>
        <w:gridCol w:w="1529"/>
      </w:tblGrid>
      <w:tr>
        <w:trPr>
          <w:tblHeader w:val="true"/>
        </w:trPr>
        <w:tc>
          <w:tcPr>
            <w:tcW w:type="dxa" w:w="936"/>
            <w:shd w:val="clear" w:color="auto" w:fill="DCE6F5"/>
          </w:tcPr>
          <w:p>
            <w:pPr>
              <w:keepNext w:val="0"/>
              <w:spacing w:before="40" w:after="40" w:line="240" w:lineRule="auto"/>
            </w:pPr>
            <w:r>
              <w:rPr>
                <w:rFonts w:ascii="Arial" w:hAnsi="Arial" w:cs="Arial" w:eastAsia="Arial"/>
                <w:b/>
                <w:i w:val="0"/>
                <w:color w:val="1B253B"/>
                <w:sz w:val="18"/>
              </w:rPr>
              <w:t>Ref</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What will be done</w:t>
            </w:r>
          </w:p>
        </w:tc>
        <w:tc>
          <w:tcPr>
            <w:tcW w:type="dxa" w:w="1656"/>
            <w:shd w:val="clear" w:color="auto" w:fill="DCE6F5"/>
          </w:tcPr>
          <w:p>
            <w:pPr>
              <w:keepNext w:val="0"/>
              <w:spacing w:before="40" w:after="40" w:line="240" w:lineRule="auto"/>
            </w:pPr>
            <w:r>
              <w:rPr>
                <w:rFonts w:ascii="Arial" w:hAnsi="Arial" w:cs="Arial" w:eastAsia="Arial"/>
                <w:b/>
                <w:i w:val="0"/>
                <w:color w:val="1B253B"/>
                <w:sz w:val="18"/>
              </w:rPr>
              <w:t>Resources needed</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Responsible</w:t>
            </w:r>
          </w:p>
        </w:tc>
        <w:tc>
          <w:tcPr>
            <w:tcW w:type="dxa" w:w="1037"/>
            <w:shd w:val="clear" w:color="auto" w:fill="DCE6F5"/>
          </w:tcPr>
          <w:p>
            <w:pPr>
              <w:keepNext w:val="0"/>
              <w:spacing w:before="40" w:after="40" w:line="240" w:lineRule="auto"/>
            </w:pPr>
            <w:r>
              <w:rPr>
                <w:rFonts w:ascii="Arial" w:hAnsi="Arial" w:cs="Arial" w:eastAsia="Arial"/>
                <w:b/>
                <w:i w:val="0"/>
                <w:color w:val="1B253B"/>
                <w:sz w:val="18"/>
              </w:rPr>
              <w:t>When</w:t>
            </w:r>
          </w:p>
        </w:tc>
        <w:tc>
          <w:tcPr>
            <w:tcW w:type="dxa" w:w="1944"/>
            <w:shd w:val="clear" w:color="auto" w:fill="DCE6F5"/>
          </w:tcPr>
          <w:p>
            <w:pPr>
              <w:keepNext w:val="0"/>
              <w:spacing w:before="40" w:after="40" w:line="240" w:lineRule="auto"/>
            </w:pPr>
            <w:r>
              <w:rPr>
                <w:rFonts w:ascii="Arial" w:hAnsi="Arial" w:cs="Arial" w:eastAsia="Arial"/>
                <w:b/>
                <w:i w:val="0"/>
                <w:color w:val="1B253B"/>
                <w:sz w:val="18"/>
              </w:rPr>
              <w:t>How it will be evaluated</w:t>
            </w:r>
          </w:p>
        </w:tc>
      </w:tr>
      <w:tr>
        <w:trPr>
          <w:cantSplit w:val="true"/>
        </w:trPr>
        <w:tc>
          <w:tcPr>
            <w:tcW w:type="dxa" w:w="936"/>
          </w:tcPr>
          <w:p>
            <w:pPr>
              <w:keepNext w:val="0"/>
              <w:spacing w:before="40" w:after="40" w:line="240" w:lineRule="auto"/>
            </w:pPr>
            <w:r>
              <w:rPr>
                <w:rFonts w:ascii="Arial" w:hAnsi="Arial" w:cs="Arial" w:eastAsia="Arial"/>
                <w:b w:val="0"/>
                <w:i w:val="0"/>
                <w:sz w:val="18"/>
              </w:rPr>
              <w:t>OBJ-01</w:t>
            </w:r>
          </w:p>
        </w:tc>
        <w:tc>
          <w:tcPr>
            <w:tcW w:type="dxa" w:w="2304"/>
          </w:tcPr>
          <w:p>
            <w:pPr>
              <w:keepNext w:val="0"/>
              <w:spacing w:before="40" w:after="40" w:line="240" w:lineRule="auto"/>
            </w:pPr>
            <w:r>
              <w:rPr>
                <w:rFonts w:ascii="Arial" w:hAnsi="Arial" w:cs="Arial" w:eastAsia="Arial"/>
                <w:b w:val="0"/>
                <w:i w:val="0"/>
                <w:sz w:val="18"/>
                <w:highlight w:val="yellow"/>
              </w:rPr>
              <w:t>&lt;Actions, for example run induction training and a yearly refresher&gt;</w:t>
            </w:r>
          </w:p>
        </w:tc>
        <w:tc>
          <w:tcPr>
            <w:tcW w:type="dxa" w:w="1656"/>
          </w:tcPr>
          <w:p>
            <w:pPr>
              <w:keepNext w:val="0"/>
              <w:spacing w:before="40" w:after="40" w:line="240" w:lineRule="auto"/>
            </w:pPr>
            <w:r>
              <w:rPr>
                <w:rFonts w:ascii="Arial" w:hAnsi="Arial" w:cs="Arial" w:eastAsia="Arial"/>
                <w:b w:val="0"/>
                <w:i w:val="0"/>
                <w:sz w:val="18"/>
                <w:highlight w:val="yellow"/>
              </w:rPr>
              <w:t>&lt;Training platform, time, budget&gt;</w:t>
            </w:r>
          </w:p>
        </w:tc>
        <w:tc>
          <w:tcPr>
            <w:tcW w:type="dxa" w:w="1296"/>
          </w:tcPr>
          <w:p>
            <w:pPr>
              <w:keepNext w:val="0"/>
              <w:spacing w:before="40" w:after="40" w:line="240" w:lineRule="auto"/>
            </w:pPr>
            <w:r>
              <w:rPr>
                <w:rFonts w:ascii="Arial" w:hAnsi="Arial" w:cs="Arial" w:eastAsia="Arial"/>
                <w:b w:val="0"/>
                <w:i w:val="0"/>
                <w:sz w:val="18"/>
                <w:highlight w:val="yellow"/>
              </w:rPr>
              <w:t>&lt;Name&gt;</w:t>
            </w:r>
          </w:p>
        </w:tc>
        <w:tc>
          <w:tcPr>
            <w:tcW w:type="dxa" w:w="1037"/>
          </w:tcPr>
          <w:p>
            <w:pPr>
              <w:keepNext w:val="0"/>
              <w:spacing w:before="40" w:after="40" w:line="240" w:lineRule="auto"/>
            </w:pPr>
            <w:r>
              <w:rPr>
                <w:rFonts w:ascii="Arial" w:hAnsi="Arial" w:cs="Arial" w:eastAsia="Arial"/>
                <w:b w:val="0"/>
                <w:i w:val="0"/>
                <w:sz w:val="18"/>
                <w:highlight w:val="yellow"/>
              </w:rPr>
              <w:t>&lt;Date&gt;</w:t>
            </w:r>
          </w:p>
        </w:tc>
        <w:tc>
          <w:tcPr>
            <w:tcW w:type="dxa" w:w="1944"/>
          </w:tcPr>
          <w:p>
            <w:pPr>
              <w:keepNext w:val="0"/>
              <w:spacing w:before="40" w:after="40" w:line="240" w:lineRule="auto"/>
            </w:pPr>
            <w:r>
              <w:rPr>
                <w:rFonts w:ascii="Arial" w:hAnsi="Arial" w:cs="Arial" w:eastAsia="Arial"/>
                <w:b w:val="0"/>
                <w:i w:val="0"/>
                <w:sz w:val="18"/>
                <w:highlight w:val="yellow"/>
              </w:rPr>
              <w:t>&lt;Training report each month&gt;</w:t>
            </w:r>
          </w:p>
        </w:tc>
      </w:tr>
      <w:tr>
        <w:trPr>
          <w:cantSplit w:val="true"/>
        </w:trPr>
        <w:tc>
          <w:tcPr>
            <w:tcW w:type="dxa" w:w="936"/>
          </w:tcPr>
          <w:p>
            <w:pPr>
              <w:keepNext w:val="0"/>
              <w:spacing w:before="40" w:after="40" w:line="240" w:lineRule="auto"/>
            </w:pPr>
            <w:r>
              <w:rPr>
                <w:rFonts w:ascii="Arial" w:hAnsi="Arial" w:cs="Arial" w:eastAsia="Arial"/>
                <w:b w:val="0"/>
                <w:i w:val="0"/>
                <w:sz w:val="18"/>
              </w:rPr>
              <w:t>OBJ-02</w:t>
            </w:r>
          </w:p>
        </w:tc>
        <w:tc>
          <w:tcPr>
            <w:tcW w:type="dxa" w:w="2304"/>
          </w:tcPr>
          <w:p>
            <w:pPr>
              <w:keepNext w:val="0"/>
              <w:spacing w:before="40" w:after="40" w:line="240" w:lineRule="auto"/>
            </w:pPr>
            <w:r>
              <w:rPr>
                <w:rFonts w:ascii="Arial" w:hAnsi="Arial" w:cs="Arial" w:eastAsia="Arial"/>
                <w:b w:val="0"/>
                <w:i w:val="0"/>
                <w:sz w:val="18"/>
                <w:highlight w:val="yellow"/>
              </w:rPr>
              <w:t>&lt;Actions&gt;</w:t>
            </w:r>
          </w:p>
        </w:tc>
        <w:tc>
          <w:tcPr>
            <w:tcW w:type="dxa" w:w="1656"/>
          </w:tcPr>
          <w:p>
            <w:pPr>
              <w:keepNext w:val="0"/>
              <w:spacing w:before="40" w:after="40" w:line="240" w:lineRule="auto"/>
            </w:pPr>
            <w:r>
              <w:rPr>
                <w:rFonts w:ascii="Arial" w:hAnsi="Arial" w:cs="Arial" w:eastAsia="Arial"/>
                <w:b w:val="0"/>
                <w:i w:val="0"/>
                <w:sz w:val="18"/>
                <w:highlight w:val="yellow"/>
              </w:rPr>
              <w:t>&lt;Resources&gt;</w:t>
            </w:r>
          </w:p>
        </w:tc>
        <w:tc>
          <w:tcPr>
            <w:tcW w:type="dxa" w:w="1296"/>
          </w:tcPr>
          <w:p>
            <w:pPr>
              <w:keepNext w:val="0"/>
              <w:spacing w:before="40" w:after="40" w:line="240" w:lineRule="auto"/>
            </w:pPr>
            <w:r>
              <w:rPr>
                <w:rFonts w:ascii="Arial" w:hAnsi="Arial" w:cs="Arial" w:eastAsia="Arial"/>
                <w:b w:val="0"/>
                <w:i w:val="0"/>
                <w:sz w:val="18"/>
                <w:highlight w:val="yellow"/>
              </w:rPr>
              <w:t>&lt;Name&gt;</w:t>
            </w:r>
          </w:p>
        </w:tc>
        <w:tc>
          <w:tcPr>
            <w:tcW w:type="dxa" w:w="1037"/>
          </w:tcPr>
          <w:p>
            <w:pPr>
              <w:keepNext w:val="0"/>
              <w:spacing w:before="40" w:after="40" w:line="240" w:lineRule="auto"/>
            </w:pPr>
            <w:r>
              <w:rPr>
                <w:rFonts w:ascii="Arial" w:hAnsi="Arial" w:cs="Arial" w:eastAsia="Arial"/>
                <w:b w:val="0"/>
                <w:i w:val="0"/>
                <w:sz w:val="18"/>
                <w:highlight w:val="yellow"/>
              </w:rPr>
              <w:t>&lt;Date&gt;</w:t>
            </w:r>
          </w:p>
        </w:tc>
        <w:tc>
          <w:tcPr>
            <w:tcW w:type="dxa" w:w="1944"/>
          </w:tcPr>
          <w:p>
            <w:pPr>
              <w:keepNext w:val="0"/>
              <w:spacing w:before="40" w:after="40" w:line="240" w:lineRule="auto"/>
            </w:pPr>
            <w:r>
              <w:rPr>
                <w:rFonts w:ascii="Arial" w:hAnsi="Arial" w:cs="Arial" w:eastAsia="Arial"/>
                <w:b w:val="0"/>
                <w:i w:val="0"/>
                <w:sz w:val="18"/>
                <w:highlight w:val="yellow"/>
              </w:rPr>
              <w:t>&lt;How&gt;</w:t>
            </w:r>
          </w:p>
        </w:tc>
      </w:tr>
      <w:tr>
        <w:trPr>
          <w:cantSplit w:val="true"/>
        </w:trPr>
        <w:tc>
          <w:tcPr>
            <w:tcW w:type="dxa" w:w="936"/>
          </w:tcPr>
          <w:p>
            <w:pPr>
              <w:keepNext w:val="0"/>
              <w:spacing w:before="40" w:after="40" w:line="240" w:lineRule="auto"/>
            </w:pPr>
            <w:r>
              <w:rPr>
                <w:rFonts w:ascii="Arial" w:hAnsi="Arial" w:cs="Arial" w:eastAsia="Arial"/>
                <w:b w:val="0"/>
                <w:i w:val="0"/>
                <w:sz w:val="18"/>
              </w:rPr>
              <w:t>OBJ-03</w:t>
            </w:r>
          </w:p>
        </w:tc>
        <w:tc>
          <w:tcPr>
            <w:tcW w:type="dxa" w:w="2304"/>
          </w:tcPr>
          <w:p>
            <w:pPr>
              <w:keepNext w:val="0"/>
              <w:spacing w:before="40" w:after="40" w:line="240" w:lineRule="auto"/>
            </w:pPr>
            <w:r>
              <w:rPr>
                <w:rFonts w:ascii="Arial" w:hAnsi="Arial" w:cs="Arial" w:eastAsia="Arial"/>
                <w:b w:val="0"/>
                <w:i w:val="0"/>
                <w:sz w:val="18"/>
                <w:highlight w:val="yellow"/>
              </w:rPr>
              <w:t>&lt;Actions&gt;</w:t>
            </w:r>
          </w:p>
        </w:tc>
        <w:tc>
          <w:tcPr>
            <w:tcW w:type="dxa" w:w="1656"/>
          </w:tcPr>
          <w:p>
            <w:pPr>
              <w:keepNext w:val="0"/>
              <w:spacing w:before="40" w:after="40" w:line="240" w:lineRule="auto"/>
            </w:pPr>
            <w:r>
              <w:rPr>
                <w:rFonts w:ascii="Arial" w:hAnsi="Arial" w:cs="Arial" w:eastAsia="Arial"/>
                <w:b w:val="0"/>
                <w:i w:val="0"/>
                <w:sz w:val="18"/>
                <w:highlight w:val="yellow"/>
              </w:rPr>
              <w:t>&lt;Resources&gt;</w:t>
            </w:r>
          </w:p>
        </w:tc>
        <w:tc>
          <w:tcPr>
            <w:tcW w:type="dxa" w:w="1296"/>
          </w:tcPr>
          <w:p>
            <w:pPr>
              <w:keepNext w:val="0"/>
              <w:spacing w:before="40" w:after="40" w:line="240" w:lineRule="auto"/>
            </w:pPr>
            <w:r>
              <w:rPr>
                <w:rFonts w:ascii="Arial" w:hAnsi="Arial" w:cs="Arial" w:eastAsia="Arial"/>
                <w:b w:val="0"/>
                <w:i w:val="0"/>
                <w:sz w:val="18"/>
                <w:highlight w:val="yellow"/>
              </w:rPr>
              <w:t>&lt;Name&gt;</w:t>
            </w:r>
          </w:p>
        </w:tc>
        <w:tc>
          <w:tcPr>
            <w:tcW w:type="dxa" w:w="1037"/>
          </w:tcPr>
          <w:p>
            <w:pPr>
              <w:keepNext w:val="0"/>
              <w:spacing w:before="40" w:after="40" w:line="240" w:lineRule="auto"/>
            </w:pPr>
            <w:r>
              <w:rPr>
                <w:rFonts w:ascii="Arial" w:hAnsi="Arial" w:cs="Arial" w:eastAsia="Arial"/>
                <w:b w:val="0"/>
                <w:i w:val="0"/>
                <w:sz w:val="18"/>
                <w:highlight w:val="yellow"/>
              </w:rPr>
              <w:t>&lt;Date&gt;</w:t>
            </w:r>
          </w:p>
        </w:tc>
        <w:tc>
          <w:tcPr>
            <w:tcW w:type="dxa" w:w="1944"/>
          </w:tcPr>
          <w:p>
            <w:pPr>
              <w:keepNext w:val="0"/>
              <w:spacing w:before="40" w:after="40" w:line="240" w:lineRule="auto"/>
            </w:pPr>
            <w:r>
              <w:rPr>
                <w:rFonts w:ascii="Arial" w:hAnsi="Arial" w:cs="Arial" w:eastAsia="Arial"/>
                <w:b w:val="0"/>
                <w:i w:val="0"/>
                <w:sz w:val="18"/>
                <w:highlight w:val="yellow"/>
              </w:rPr>
              <w:t>&lt;How&gt;</w:t>
            </w:r>
          </w:p>
        </w:tc>
      </w:tr>
      <w:tr>
        <w:trPr>
          <w:cantSplit w:val="true"/>
        </w:trPr>
        <w:tc>
          <w:tcPr>
            <w:tcW w:type="dxa" w:w="936"/>
          </w:tcPr>
          <w:p>
            <w:pPr>
              <w:keepNext w:val="0"/>
              <w:spacing w:before="40" w:after="40" w:line="240" w:lineRule="auto"/>
            </w:pPr>
            <w:r>
              <w:rPr>
                <w:rFonts w:ascii="Arial" w:hAnsi="Arial" w:cs="Arial" w:eastAsia="Arial"/>
                <w:b w:val="0"/>
                <w:i w:val="0"/>
                <w:sz w:val="18"/>
                <w:highlight w:val="yellow"/>
              </w:rPr>
              <w:t>&lt;OBJ-nn&gt;</w:t>
            </w:r>
          </w:p>
        </w:tc>
        <w:tc>
          <w:tcPr>
            <w:tcW w:type="dxa" w:w="2304"/>
          </w:tcPr>
          <w:p>
            <w:pPr>
              <w:keepNext w:val="0"/>
              <w:spacing w:before="40" w:after="40" w:line="240" w:lineRule="auto"/>
            </w:pPr>
            <w:r>
              <w:rPr>
                <w:rFonts w:ascii="Arial" w:hAnsi="Arial" w:cs="Arial" w:eastAsia="Arial"/>
                <w:b w:val="0"/>
                <w:i w:val="0"/>
                <w:sz w:val="18"/>
                <w:highlight w:val="yellow"/>
              </w:rPr>
              <w:t>&lt;Actions&gt;</w:t>
            </w:r>
          </w:p>
        </w:tc>
        <w:tc>
          <w:tcPr>
            <w:tcW w:type="dxa" w:w="1656"/>
          </w:tcPr>
          <w:p>
            <w:pPr>
              <w:keepNext w:val="0"/>
              <w:spacing w:before="40" w:after="40" w:line="240" w:lineRule="auto"/>
            </w:pPr>
            <w:r>
              <w:rPr>
                <w:rFonts w:ascii="Arial" w:hAnsi="Arial" w:cs="Arial" w:eastAsia="Arial"/>
                <w:b w:val="0"/>
                <w:i w:val="0"/>
                <w:sz w:val="18"/>
                <w:highlight w:val="yellow"/>
              </w:rPr>
              <w:t>&lt;Resources&gt;</w:t>
            </w:r>
          </w:p>
        </w:tc>
        <w:tc>
          <w:tcPr>
            <w:tcW w:type="dxa" w:w="1296"/>
          </w:tcPr>
          <w:p>
            <w:pPr>
              <w:keepNext w:val="0"/>
              <w:spacing w:before="40" w:after="40" w:line="240" w:lineRule="auto"/>
            </w:pPr>
            <w:r>
              <w:rPr>
                <w:rFonts w:ascii="Arial" w:hAnsi="Arial" w:cs="Arial" w:eastAsia="Arial"/>
                <w:b w:val="0"/>
                <w:i w:val="0"/>
                <w:sz w:val="18"/>
                <w:highlight w:val="yellow"/>
              </w:rPr>
              <w:t>&lt;Name&gt;</w:t>
            </w:r>
          </w:p>
        </w:tc>
        <w:tc>
          <w:tcPr>
            <w:tcW w:type="dxa" w:w="1037"/>
          </w:tcPr>
          <w:p>
            <w:pPr>
              <w:keepNext w:val="0"/>
              <w:spacing w:before="40" w:after="40" w:line="240" w:lineRule="auto"/>
            </w:pPr>
            <w:r>
              <w:rPr>
                <w:rFonts w:ascii="Arial" w:hAnsi="Arial" w:cs="Arial" w:eastAsia="Arial"/>
                <w:b w:val="0"/>
                <w:i w:val="0"/>
                <w:sz w:val="18"/>
                <w:highlight w:val="yellow"/>
              </w:rPr>
              <w:t>&lt;Date&gt;</w:t>
            </w:r>
          </w:p>
        </w:tc>
        <w:tc>
          <w:tcPr>
            <w:tcW w:type="dxa" w:w="1944"/>
          </w:tcPr>
          <w:p>
            <w:pPr>
              <w:keepNext w:val="0"/>
              <w:spacing w:before="40" w:after="40" w:line="240" w:lineRule="auto"/>
            </w:pPr>
            <w:r>
              <w:rPr>
                <w:rFonts w:ascii="Arial" w:hAnsi="Arial" w:cs="Arial" w:eastAsia="Arial"/>
                <w:b w:val="0"/>
                <w:i w:val="0"/>
                <w:sz w:val="18"/>
                <w:highlight w:val="yellow"/>
              </w:rPr>
              <w:t>&lt;How&gt;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Monitoring and reporting</w:t>
      </w:r>
    </w:p>
    <w:p>
      <w:pPr>
        <w:pStyle w:val="ListBullet"/>
        <w:keepNext w:val="0"/>
        <w:spacing w:before="0" w:after="60" w:line="276" w:lineRule="auto"/>
        <w:ind w:left="432" w:hanging="288"/>
      </w:pPr>
      <w:r>
        <w:rPr>
          <w:rFonts w:ascii="Arial" w:hAnsi="Arial" w:cs="Arial" w:eastAsia="Arial"/>
          <w:b w:val="0"/>
          <w:i w:val="0"/>
          <w:sz w:val="21"/>
        </w:rPr>
        <w:t xml:space="preserve">Each owner measures their objective </w:t>
      </w:r>
      <w:sdt>
        <w:sdtPr>
          <w:alias w:val="How often owners measure their objectives"/>
          <w:tag w:val="10.measure"/>
        </w:sdtPr>
        <w:sdtContent>
          <w:r>
            <w:rPr>
              <w:rFonts w:ascii="Arial" w:hAnsi="Arial" w:cs="Arial" w:eastAsia="Arial"/>
              <w:b w:val="0"/>
              <w:i w:val="0"/>
              <w:sz w:val="21"/>
              <w:highlight w:val="yellow"/>
            </w:rPr>
            <w:t>&lt;quarterly&gt;</w:t>
          </w:r>
        </w:sdtContent>
      </w:sdt>
      <w:r>
        <w:rPr>
          <w:rFonts w:ascii="Arial" w:hAnsi="Arial" w:cs="Arial" w:eastAsia="Arial"/>
          <w:b w:val="0"/>
          <w:i w:val="0"/>
          <w:sz w:val="21"/>
        </w:rPr>
        <w:t>, and records the result.</w:t>
      </w:r>
    </w:p>
    <w:p>
      <w:pPr>
        <w:pStyle w:val="ListBullet"/>
        <w:keepNext w:val="0"/>
        <w:spacing w:before="0" w:after="60" w:line="276" w:lineRule="auto"/>
        <w:ind w:left="432" w:hanging="288"/>
      </w:pPr>
      <w:r>
        <w:rPr>
          <w:rFonts w:ascii="Arial" w:hAnsi="Arial" w:cs="Arial" w:eastAsia="Arial"/>
          <w:b w:val="0"/>
          <w:i w:val="0"/>
          <w:sz w:val="21"/>
        </w:rPr>
        <w:t xml:space="preserve">The ISMS Manager gathers the results and reports progress to top management </w:t>
      </w:r>
      <w:sdt>
        <w:sdtPr>
          <w:alias w:val="How often the ISMS Manager reports to top management"/>
          <w:tag w:val="reporting_frequency"/>
        </w:sdtPr>
        <w:sdtContent>
          <w:r>
            <w:rPr>
              <w:rFonts w:ascii="Arial" w:hAnsi="Arial" w:cs="Arial" w:eastAsia="Arial"/>
              <w:b w:val="0"/>
              <w:i w:val="0"/>
              <w:sz w:val="21"/>
              <w:highlight w:val="yellow"/>
            </w:rPr>
            <w:t>&lt;quarterly&gt;</w:t>
          </w:r>
        </w:sdtContent>
      </w:sdt>
      <w:r>
        <w:rPr>
          <w:rFonts w:ascii="Arial" w:hAnsi="Arial" w:cs="Arial" w:eastAsia="Arial"/>
          <w:b w:val="0"/>
          <w:i w:val="0"/>
          <w:sz w:val="21"/>
        </w:rPr>
        <w:t>, and at the management review (ISMS-08).</w:t>
      </w:r>
    </w:p>
    <w:p>
      <w:pPr>
        <w:pStyle w:val="ListBullet"/>
        <w:keepNext w:val="0"/>
        <w:spacing w:before="0" w:after="60" w:line="276" w:lineRule="auto"/>
        <w:ind w:left="432" w:hanging="288"/>
      </w:pPr>
      <w:r>
        <w:rPr>
          <w:rFonts w:ascii="Arial" w:hAnsi="Arial" w:cs="Arial" w:eastAsia="Arial"/>
          <w:b w:val="0"/>
          <w:i w:val="0"/>
          <w:sz w:val="21"/>
        </w:rPr>
        <w:t>An objective that is off track is raised at once with a recovery plan, not left until the end of the year.</w:t>
      </w:r>
    </w:p>
    <w:p>
      <w:pPr>
        <w:keepNext w:val="0"/>
        <w:spacing w:before="0" w:after="40" w:line="240" w:lineRule="auto"/>
      </w:pPr>
    </w:p>
    <w:tbl>
      <w:tblPr>
        <w:tblStyle w:val="TableGrid"/>
        <w:tblW w:type="auto" w:w="0"/>
        <w:jc w:val="center"/>
        <w:tblLayout w:type="fixed"/>
        <w:tblLook w:firstColumn="1" w:firstRow="1" w:lastColumn="0" w:lastRow="0" w:noHBand="0" w:noVBand="1" w:val="04A0"/>
        <w:tblCaption w:val="source:objective_progress"/>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Ref</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Period</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Result</w:t>
            </w:r>
          </w:p>
        </w:tc>
        <w:tc>
          <w:tcPr>
            <w:tcW w:type="dxa" w:w="2448"/>
            <w:shd w:val="clear" w:color="auto" w:fill="DCE6F5"/>
          </w:tcPr>
          <w:p>
            <w:pPr>
              <w:keepNext w:val="0"/>
              <w:spacing w:before="40" w:after="40" w:line="240" w:lineRule="auto"/>
            </w:pPr>
            <w:r>
              <w:rPr>
                <w:rFonts w:ascii="Arial" w:hAnsi="Arial" w:cs="Arial" w:eastAsia="Arial"/>
                <w:b/>
                <w:i w:val="0"/>
                <w:color w:val="1B253B"/>
                <w:sz w:val="18"/>
              </w:rPr>
              <w:t>Status</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Comment</w:t>
            </w:r>
          </w:p>
        </w:tc>
      </w:tr>
      <w:tr>
        <w:trPr>
          <w:cantSplit w:val="true"/>
        </w:trPr>
        <w:tc>
          <w:tcPr>
            <w:tcW w:type="dxa" w:w="1008"/>
          </w:tcPr>
          <w:p>
            <w:pPr>
              <w:keepNext w:val="0"/>
              <w:spacing w:before="40" w:after="40" w:line="240" w:lineRule="auto"/>
            </w:pPr>
            <w:r>
              <w:rPr>
                <w:rFonts w:ascii="Arial" w:hAnsi="Arial" w:cs="Arial" w:eastAsia="Arial"/>
                <w:b w:val="0"/>
                <w:i w:val="0"/>
                <w:sz w:val="18"/>
              </w:rPr>
              <w:t>OBJ-01</w:t>
            </w:r>
          </w:p>
        </w:tc>
        <w:tc>
          <w:tcPr>
            <w:tcW w:type="dxa" w:w="1440"/>
          </w:tcPr>
          <w:p>
            <w:pPr>
              <w:keepNext w:val="0"/>
              <w:spacing w:before="40" w:after="40" w:line="240" w:lineRule="auto"/>
            </w:pPr>
            <w:r>
              <w:rPr>
                <w:rFonts w:ascii="Arial" w:hAnsi="Arial" w:cs="Arial" w:eastAsia="Arial"/>
                <w:b w:val="0"/>
                <w:i w:val="0"/>
                <w:sz w:val="18"/>
                <w:highlight w:val="yellow"/>
              </w:rPr>
              <w:t>&lt;Period&gt;</w:t>
            </w:r>
          </w:p>
        </w:tc>
        <w:tc>
          <w:tcPr>
            <w:tcW w:type="dxa" w:w="1440"/>
          </w:tcPr>
          <w:p>
            <w:pPr>
              <w:keepNext w:val="0"/>
              <w:spacing w:before="40" w:after="40" w:line="240" w:lineRule="auto"/>
            </w:pPr>
            <w:r>
              <w:rPr>
                <w:rFonts w:ascii="Arial" w:hAnsi="Arial" w:cs="Arial" w:eastAsia="Arial"/>
                <w:b w:val="0"/>
                <w:i w:val="0"/>
                <w:sz w:val="18"/>
                <w:highlight w:val="yellow"/>
              </w:rPr>
              <w:t>&lt;Result&gt;</w:t>
            </w:r>
          </w:p>
        </w:tc>
        <w:tc>
          <w:tcPr>
            <w:tcW w:type="dxa" w:w="2448"/>
          </w:tcPr>
          <w:p>
            <w:pPr>
              <w:keepNext w:val="0"/>
              <w:spacing w:before="40" w:after="40" w:line="240" w:lineRule="auto"/>
            </w:pPr>
            <w:r>
              <w:rPr>
                <w:rFonts w:ascii="Arial" w:hAnsi="Arial" w:cs="Arial" w:eastAsia="Arial"/>
                <w:b w:val="0"/>
                <w:i w:val="0"/>
                <w:sz w:val="18"/>
                <w:highlight w:val="yellow"/>
              </w:rPr>
              <w:t>&lt;On track / At risk / Met / Missed&gt;</w:t>
            </w:r>
          </w:p>
        </w:tc>
        <w:tc>
          <w:tcPr>
            <w:tcW w:type="dxa" w:w="2880"/>
          </w:tcPr>
          <w:p>
            <w:pPr>
              <w:keepNext w:val="0"/>
              <w:spacing w:before="40" w:after="40" w:line="240" w:lineRule="auto"/>
            </w:pPr>
            <w:r>
              <w:rPr>
                <w:rFonts w:ascii="Arial" w:hAnsi="Arial" w:cs="Arial" w:eastAsia="Arial"/>
                <w:b w:val="0"/>
                <w:i w:val="0"/>
                <w:sz w:val="18"/>
                <w:highlight w:val="yellow"/>
              </w:rPr>
              <w:t>&lt;Comment&gt;</w:t>
            </w:r>
          </w:p>
        </w:tc>
      </w:tr>
      <w:tr>
        <w:trPr>
          <w:cantSplit w:val="true"/>
        </w:trPr>
        <w:tc>
          <w:tcPr>
            <w:tcW w:type="dxa" w:w="1008"/>
          </w:tcPr>
          <w:p>
            <w:pPr>
              <w:keepNext w:val="0"/>
              <w:spacing w:before="40" w:after="40" w:line="240" w:lineRule="auto"/>
            </w:pPr>
            <w:r>
              <w:rPr>
                <w:rFonts w:ascii="Arial" w:hAnsi="Arial" w:cs="Arial" w:eastAsia="Arial"/>
                <w:b w:val="0"/>
                <w:i w:val="0"/>
                <w:sz w:val="18"/>
              </w:rPr>
              <w:t>OBJ-02</w:t>
            </w:r>
          </w:p>
        </w:tc>
        <w:tc>
          <w:tcPr>
            <w:tcW w:type="dxa" w:w="1440"/>
          </w:tcPr>
          <w:p>
            <w:pPr>
              <w:keepNext w:val="0"/>
              <w:spacing w:before="40" w:after="40" w:line="240" w:lineRule="auto"/>
            </w:pPr>
            <w:r>
              <w:rPr>
                <w:rFonts w:ascii="Arial" w:hAnsi="Arial" w:cs="Arial" w:eastAsia="Arial"/>
                <w:b w:val="0"/>
                <w:i w:val="0"/>
                <w:sz w:val="18"/>
                <w:highlight w:val="yellow"/>
              </w:rPr>
              <w:t>&lt;Period&gt;</w:t>
            </w:r>
          </w:p>
        </w:tc>
        <w:tc>
          <w:tcPr>
            <w:tcW w:type="dxa" w:w="1440"/>
          </w:tcPr>
          <w:p>
            <w:pPr>
              <w:keepNext w:val="0"/>
              <w:spacing w:before="40" w:after="40" w:line="240" w:lineRule="auto"/>
            </w:pPr>
            <w:r>
              <w:rPr>
                <w:rFonts w:ascii="Arial" w:hAnsi="Arial" w:cs="Arial" w:eastAsia="Arial"/>
                <w:b w:val="0"/>
                <w:i w:val="0"/>
                <w:sz w:val="18"/>
                <w:highlight w:val="yellow"/>
              </w:rPr>
              <w:t>&lt;Result&gt;</w:t>
            </w:r>
          </w:p>
        </w:tc>
        <w:tc>
          <w:tcPr>
            <w:tcW w:type="dxa" w:w="2448"/>
          </w:tcPr>
          <w:p>
            <w:pPr>
              <w:keepNext w:val="0"/>
              <w:spacing w:before="40" w:after="40" w:line="240" w:lineRule="auto"/>
            </w:pPr>
            <w:r>
              <w:rPr>
                <w:rFonts w:ascii="Arial" w:hAnsi="Arial" w:cs="Arial" w:eastAsia="Arial"/>
                <w:b w:val="0"/>
                <w:i w:val="0"/>
                <w:sz w:val="18"/>
                <w:highlight w:val="yellow"/>
              </w:rPr>
              <w:t>&lt;On track / At risk / Met / Missed&gt;</w:t>
            </w:r>
          </w:p>
        </w:tc>
        <w:tc>
          <w:tcPr>
            <w:tcW w:type="dxa" w:w="2880"/>
          </w:tcPr>
          <w:p>
            <w:pPr>
              <w:keepNext w:val="0"/>
              <w:spacing w:before="40" w:after="40" w:line="240" w:lineRule="auto"/>
            </w:pPr>
            <w:r>
              <w:rPr>
                <w:rFonts w:ascii="Arial" w:hAnsi="Arial" w:cs="Arial" w:eastAsia="Arial"/>
                <w:b w:val="0"/>
                <w:i w:val="0"/>
                <w:sz w:val="18"/>
                <w:highlight w:val="yellow"/>
              </w:rPr>
              <w:t>&lt;Comment&gt;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Review and change</w:t>
      </w:r>
    </w:p>
    <w:p>
      <w:pPr>
        <w:keepNext w:val="0"/>
        <w:spacing w:before="0" w:after="120" w:line="276" w:lineRule="auto"/>
      </w:pPr>
      <w:r>
        <w:rPr>
          <w:rFonts w:ascii="Arial" w:hAnsi="Arial" w:cs="Arial" w:eastAsia="Arial"/>
          <w:b w:val="0"/>
          <w:i w:val="0"/>
          <w:sz w:val="21"/>
        </w:rPr>
        <w:t>The objectives are reviewed at least once a year at the management review. A met objective is replaced with a more demanding one or retired; a missed one is analysed, and the cause handled under the corrective action procedure (ISMS-09). Objectives are also revisited after a significant change to the organisation or its risks.</w:t>
      </w:r>
    </w:p>
    <w:p>
      <w:pPr>
        <w:keepNext/>
        <w:spacing w:before="280" w:after="120" w:line="264" w:lineRule="auto"/>
      </w:pPr>
      <w:r>
        <w:rPr>
          <w:rFonts w:ascii="Arial" w:hAnsi="Arial" w:cs="Arial" w:eastAsia="Arial"/>
          <w:b/>
          <w:i w:val="0"/>
          <w:color w:val="1B253B"/>
          <w:sz w:val="28"/>
        </w:rPr>
        <w:t>7. Communication</w:t>
      </w:r>
    </w:p>
    <w:p>
      <w:pPr>
        <w:keepNext w:val="0"/>
        <w:spacing w:before="0" w:after="120" w:line="276" w:lineRule="auto"/>
      </w:pPr>
      <w:r>
        <w:rPr>
          <w:rFonts w:ascii="Arial" w:hAnsi="Arial" w:cs="Arial" w:eastAsia="Arial"/>
          <w:b w:val="0"/>
          <w:i w:val="0"/>
          <w:sz w:val="21"/>
        </w:rPr>
        <w:t xml:space="preserve">The objectives are shared with everybody they affect, and with all personnel on </w:t>
      </w:r>
      <w:sdt>
        <w:sdtPr>
          <w:alias w:val="Where staff can read the policies"/>
          <w:tag w:val="publish_location"/>
        </w:sdtPr>
        <w:sdtContent>
          <w:r>
            <w:rPr>
              <w:rFonts w:ascii="Arial" w:hAnsi="Arial" w:cs="Arial" w:eastAsia="Arial"/>
              <w:b w:val="0"/>
              <w:i w:val="0"/>
              <w:sz w:val="21"/>
              <w:highlight w:val="yellow"/>
            </w:rPr>
            <w:t>&lt;intranet or other location&gt;</w:t>
          </w:r>
        </w:sdtContent>
      </w:sdt>
      <w:r>
        <w:rPr>
          <w:rFonts w:ascii="Arial" w:hAnsi="Arial" w:cs="Arial" w:eastAsia="Arial"/>
          <w:b w:val="0"/>
          <w:i w:val="0"/>
          <w:sz w:val="21"/>
        </w:rPr>
        <w:t>, so that people know what the organisation is aiming for and how their work contributes (ISMS-06).</w:t>
      </w: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Information Security Objectives Plan</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Objectives Plan</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