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Template instructions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sz w:val="21"/>
        </w:rPr>
        <w:t>Delete this page before you use the document.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This is a complete, ready-to-edit document for an ISO/IEC 27001:2022 information security management system (ISMS). It is written for an ordinary organisation, so most of it can stay as it is once you have made it true for you.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How to use it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1.  Replace every highlighted </w:t>
      </w:r>
      <w:r>
        <w:rPr>
          <w:rFonts w:ascii="Arial" w:hAnsi="Arial" w:cs="Arial" w:eastAsia="Arial"/>
          <w:b w:val="0"/>
          <w:i w:val="0"/>
          <w:sz w:val="21"/>
          <w:highlight w:val="yellow"/>
        </w:rPr>
        <w:t>&lt;placeholder&gt;</w:t>
      </w:r>
      <w:r>
        <w:rPr>
          <w:rFonts w:ascii="Arial" w:hAnsi="Arial" w:cs="Arial" w:eastAsia="Arial"/>
          <w:b w:val="0"/>
          <w:i w:val="0"/>
          <w:sz w:val="21"/>
        </w:rPr>
        <w:t xml:space="preserve"> in angle brackets with your own text. Use Find (Ctrl+F) and search for the symbol &lt; to make sure none are left. The page header has one too.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2.  Read each section and ask whether it describes what you really do. If it does not, change it to match your practice. A document that says one thing while the organisation does another is worse than no document.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3.  If a section does not apply to you, remove it, or say briefly why it does not apply.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4.  Fill in the document information table on the next page: the owner, the version, who approved it and the date of the next review.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5.  Delete the grey guidance notes once you have read them.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6.  Have it approved by the person named as approver, then record it in Policies, with its owner and review date.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Before you finish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No yellow highlighting or angle brackets are left in the text.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document has been proofread for spelling, grammar and consistency of names and roles.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Somebody who does the work has read it and agrees that it reflects what happens.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version, dates and approval are filled in, and it is saved where the people who need it can find it.</w:t>
      </w:r>
    </w:p>
    <w:p>
      <w:pPr>
        <w:spacing w:before="200" w:after="120" w:line="276" w:lineRule="auto"/>
      </w:pPr>
      <w:r>
        <w:rPr>
          <w:rFonts w:ascii="Arial" w:hAnsi="Arial" w:cs="Arial" w:eastAsia="Arial"/>
          <w:b w:val="0"/>
          <w:i w:val="0"/>
          <w:color w:val="5B6678"/>
          <w:sz w:val="21"/>
        </w:rPr>
        <w:t>These templates are a starting point. They are not legal advice and do not by themselves make an organisation compliant with ISO/IEC 27001 or any law.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Arial" w:hAnsi="Arial" w:cs="Arial" w:eastAsia="Arial"/>
          <w:b/>
          <w:i w:val="0"/>
          <w:color w:val="1B253B"/>
          <w:sz w:val="44"/>
        </w:rPr>
        <w:t>Incident Response and Business Continuity Plan</w:t>
      </w:r>
    </w:p>
    <w:p>
      <w:pPr>
        <w:spacing w:before="0" w:after="200" w:line="276" w:lineRule="auto"/>
      </w:pPr>
      <w:r>
        <w:rPr>
          <w:rFonts w:ascii="Arial" w:hAnsi="Arial" w:cs="Arial" w:eastAsia="Arial"/>
          <w:b w:val="0"/>
          <w:i w:val="0"/>
          <w:color w:val="5B6678"/>
          <w:sz w:val="21"/>
        </w:rPr>
        <w:t>Who does what when something goes wrong, and how the organisation keeps running.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Document information</w:t>
            </w:r>
          </w:p>
        </w:tc>
        <w:tc>
          <w:tcPr>
            <w:tcW w:type="dxa" w:w="6350"/>
            <w:shd w:val="clear" w:color="auto" w:fill="DCE6F5"/>
          </w:tcPr>
          <w:p>
            <w:pPr>
              <w:spacing w:before="40" w:after="40" w:line="240" w:lineRule="auto"/>
            </w:pP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POL-05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0.1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Owner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role title"/>
                <w:tag w:val="$own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&lt;role title&gt;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role title"/>
                <w:tag w:val="$approv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&lt;role title&gt;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Internal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Effective date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approval_dat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Next review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next_review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13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Version</w:t>
            </w:r>
          </w:p>
        </w:tc>
        <w:tc>
          <w:tcPr>
            <w:tcW w:type="dxa" w:w="147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Date</w:t>
            </w:r>
          </w:p>
        </w:tc>
        <w:tc>
          <w:tcPr>
            <w:tcW w:type="dxa" w:w="181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Author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Approved by</w:t>
            </w:r>
          </w:p>
        </w:tc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What changed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approval_dat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  <w:tc>
          <w:tcPr>
            <w:tcW w:type="dxa" w:w="1814"/>
          </w:tcPr>
          <w:p>
            <w:pPr>
              <w:spacing w:before="40" w:after="40" w:line="240" w:lineRule="auto"/>
            </w:pPr>
            <w:sdt>
              <w:sdtPr>
                <w:alias w:val="name"/>
                <w:tag w:val="$own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&lt;name&gt;</w:t>
                </w:r>
              </w:sdtContent>
            </w:sdt>
          </w:p>
        </w:tc>
        <w:tc>
          <w:tcPr>
            <w:tcW w:type="dxa" w:w="1928"/>
          </w:tcPr>
          <w:p>
            <w:pPr>
              <w:spacing w:before="40" w:after="40" w:line="240" w:lineRule="auto"/>
            </w:pPr>
            <w:sdt>
              <w:sdtPr>
                <w:alias w:val="name"/>
                <w:tag w:val="$approv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&lt;name&gt;</w:t>
                </w:r>
              </w:sdtContent>
            </w:sdt>
          </w:p>
        </w:tc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First draft from the template</w:t>
            </w:r>
          </w:p>
        </w:tc>
      </w:tr>
    </w:tbl>
    <w:p>
      <w:pPr>
        <w:spacing w:after="80"/>
      </w:pP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1. Purpose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This plan says how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responds to information security incidents and how it keeps working through a serious disruption. It has to work under pressure, so every step is short and has a named owner.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5B6678"/>
          <w:sz w:val="19"/>
        </w:rPr>
        <w:t>Guidance: Print it, or keep a copy somewhere that does not depend on your own systems. A plan you cannot open during an outage does not help.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2. What counts as an incident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>An incident is any event that harms, or could harm, the confidentiality, integrity or availability of information. Examples: a lost laptop, a phishing email that was clicked, ransomware, information sent to the wrong person, a supplier breach, or a system outage.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3. Roles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041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Role</w:t>
            </w:r>
          </w:p>
        </w:tc>
        <w:tc>
          <w:tcPr>
            <w:tcW w:type="dxa" w:w="226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Who</w:t>
            </w:r>
          </w:p>
        </w:tc>
        <w:tc>
          <w:tcPr>
            <w:tcW w:type="dxa" w:w="5443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Does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Incident manager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name and role"/>
                <w:tag w:val="P5.b1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 and role&gt;</w:t>
                </w:r>
              </w:sdtContent>
            </w:sdt>
          </w:p>
        </w:tc>
        <w:tc>
          <w:tcPr>
            <w:tcW w:type="dxa" w:w="544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Leads the response, decides how serious it is, and keeps the log.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Technical lead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name and role"/>
                <w:tag w:val="P5.b2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 and role&gt;</w:t>
                </w:r>
              </w:sdtContent>
            </w:sdt>
          </w:p>
        </w:tc>
        <w:tc>
          <w:tcPr>
            <w:tcW w:type="dxa" w:w="544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Contains the problem and recovers the systems.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Executive sponsor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name and role"/>
                <w:tag w:val="P5.b3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 and role&gt;</w:t>
                </w:r>
              </w:sdtContent>
            </w:sdt>
          </w:p>
        </w:tc>
        <w:tc>
          <w:tcPr>
            <w:tcW w:type="dxa" w:w="544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Decides on telling regulators, customers and the public.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Communications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name and role"/>
                <w:tag w:val="P5.b4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 and role&gt;</w:t>
                </w:r>
              </w:sdtContent>
            </w:sdt>
          </w:p>
        </w:tc>
        <w:tc>
          <w:tcPr>
            <w:tcW w:type="dxa" w:w="544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Handles messages to staff, customers and the press.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Deputy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name and role"/>
                <w:tag w:val="P5.b5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 and role&gt;</w:t>
                </w:r>
              </w:sdtContent>
            </w:sdt>
          </w:p>
        </w:tc>
        <w:tc>
          <w:tcPr>
            <w:tcW w:type="dxa" w:w="544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Steps in if anyone above is not available.</w:t>
            </w:r>
          </w:p>
        </w:tc>
      </w:tr>
    </w:tbl>
    <w:p>
      <w:pPr>
        <w:spacing w:after="80"/>
      </w:pP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4. Responding to an incident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1.  </w:t>
      </w:r>
      <w:r>
        <w:rPr>
          <w:rFonts w:ascii="Arial" w:hAnsi="Arial" w:cs="Arial" w:eastAsia="Arial"/>
          <w:b/>
          <w:i w:val="0"/>
          <w:sz w:val="21"/>
        </w:rPr>
        <w:t>Report.</w:t>
      </w:r>
      <w:r>
        <w:rPr>
          <w:rFonts w:ascii="Arial" w:hAnsi="Arial" w:cs="Arial" w:eastAsia="Arial"/>
          <w:b w:val="0"/>
          <w:i w:val="0"/>
          <w:sz w:val="21"/>
        </w:rPr>
        <w:t xml:space="preserve"> Anyone reports it straight away to </w:t>
      </w:r>
      <w:sdt>
        <w:sdtPr>
          <w:alias w:val="contact, phone number or mailbox"/>
          <w:tag w:val="P5.b6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&lt;contact, phone number or mailbox&gt;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2.  </w:t>
      </w:r>
      <w:r>
        <w:rPr>
          <w:rFonts w:ascii="Arial" w:hAnsi="Arial" w:cs="Arial" w:eastAsia="Arial"/>
          <w:b/>
          <w:i w:val="0"/>
          <w:sz w:val="21"/>
        </w:rPr>
        <w:t>Assess.</w:t>
      </w:r>
      <w:r>
        <w:rPr>
          <w:rFonts w:ascii="Arial" w:hAnsi="Arial" w:cs="Arial" w:eastAsia="Arial"/>
          <w:b w:val="0"/>
          <w:i w:val="0"/>
          <w:sz w:val="21"/>
        </w:rPr>
        <w:t xml:space="preserve"> The incident manager rates it within </w:t>
      </w:r>
      <w:sdt>
        <w:sdtPr>
          <w:alias w:val="4 working hours"/>
          <w:tag w:val="P5.b7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&lt;4 working hours&gt;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: Low, Medium, High or Critical, and opens a log entry.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3.  </w:t>
      </w:r>
      <w:r>
        <w:rPr>
          <w:rFonts w:ascii="Arial" w:hAnsi="Arial" w:cs="Arial" w:eastAsia="Arial"/>
          <w:b/>
          <w:i w:val="0"/>
          <w:sz w:val="21"/>
        </w:rPr>
        <w:t>Contain.</w:t>
      </w:r>
      <w:r>
        <w:rPr>
          <w:rFonts w:ascii="Arial" w:hAnsi="Arial" w:cs="Arial" w:eastAsia="Arial"/>
          <w:b w:val="0"/>
          <w:i w:val="0"/>
          <w:sz w:val="21"/>
        </w:rPr>
        <w:t xml:space="preserve"> Stop it spreading: isolate affected systems and accounts. Keep evidence (logs, images, times) and do not delete anything.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4.  </w:t>
      </w:r>
      <w:r>
        <w:rPr>
          <w:rFonts w:ascii="Arial" w:hAnsi="Arial" w:cs="Arial" w:eastAsia="Arial"/>
          <w:b/>
          <w:i w:val="0"/>
          <w:sz w:val="21"/>
        </w:rPr>
        <w:t>Fix.</w:t>
      </w:r>
      <w:r>
        <w:rPr>
          <w:rFonts w:ascii="Arial" w:hAnsi="Arial" w:cs="Arial" w:eastAsia="Arial"/>
          <w:b w:val="0"/>
          <w:i w:val="0"/>
          <w:sz w:val="21"/>
        </w:rPr>
        <w:t xml:space="preserve"> Remove the cause, restore from a known good copy, and check that normal service is back.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5.  </w:t>
      </w:r>
      <w:r>
        <w:rPr>
          <w:rFonts w:ascii="Arial" w:hAnsi="Arial" w:cs="Arial" w:eastAsia="Arial"/>
          <w:b/>
          <w:i w:val="0"/>
          <w:sz w:val="21"/>
        </w:rPr>
        <w:t>Tell.</w:t>
      </w:r>
      <w:r>
        <w:rPr>
          <w:rFonts w:ascii="Arial" w:hAnsi="Arial" w:cs="Arial" w:eastAsia="Arial"/>
          <w:b w:val="0"/>
          <w:i w:val="0"/>
          <w:sz w:val="21"/>
        </w:rPr>
        <w:t xml:space="preserve"> Decide who must be told and by when: leadership, customers, </w:t>
      </w:r>
      <w:sdt>
        <w:sdtPr>
          <w:alias w:val="regulator"/>
          <w:tag w:val="P5.b8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&lt;regulator&gt;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, insurers, the police. Where personal data is involved, check the legal deadline (for example </w:t>
      </w:r>
      <w:sdt>
        <w:sdtPr>
          <w:alias w:val="72 hours"/>
          <w:tag w:val="P5.b9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&lt;72 hours&gt;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).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6.  </w:t>
      </w:r>
      <w:r>
        <w:rPr>
          <w:rFonts w:ascii="Arial" w:hAnsi="Arial" w:cs="Arial" w:eastAsia="Arial"/>
          <w:b/>
          <w:i w:val="0"/>
          <w:sz w:val="21"/>
        </w:rPr>
        <w:t>Learn.</w:t>
      </w:r>
      <w:r>
        <w:rPr>
          <w:rFonts w:ascii="Arial" w:hAnsi="Arial" w:cs="Arial" w:eastAsia="Arial"/>
          <w:b w:val="0"/>
          <w:i w:val="0"/>
          <w:sz w:val="21"/>
        </w:rPr>
        <w:t xml:space="preserve"> For every Medium incident or above, hold a review within </w:t>
      </w:r>
      <w:sdt>
        <w:sdtPr>
          <w:alias w:val="10 working days"/>
          <w:tag w:val="P5.b10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&lt;10 working days&gt;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 Turn what is learned into actions with owners and dates.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701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Level</w:t>
            </w:r>
          </w:p>
        </w:tc>
        <w:tc>
          <w:tcPr>
            <w:tcW w:type="dxa" w:w="4535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Meaning</w:t>
            </w:r>
          </w:p>
        </w:tc>
        <w:tc>
          <w:tcPr>
            <w:tcW w:type="dxa" w:w="3515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Who is told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Critical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Major harm, or a legal duty to report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Executive sponsor at once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Serious harm to a service or to data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Incident manager and leadership the same day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Limited harm, contained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Incident manager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real harm, a near miss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Logged and reviewed</w:t>
            </w:r>
          </w:p>
        </w:tc>
      </w:tr>
    </w:tbl>
    <w:p>
      <w:pPr>
        <w:spacing w:after="80"/>
      </w:pP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5. Business continuity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services below matter most. For each, the plan says how long it can be down and how much recent data can be lost.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381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Service</w:t>
            </w:r>
          </w:p>
        </w:tc>
        <w:tc>
          <w:tcPr>
            <w:tcW w:type="dxa" w:w="226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Longest acceptable outage</w:t>
            </w:r>
          </w:p>
        </w:tc>
        <w:tc>
          <w:tcPr>
            <w:tcW w:type="dxa" w:w="226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Most data we can lose</w:t>
            </w:r>
          </w:p>
        </w:tc>
        <w:tc>
          <w:tcPr>
            <w:tcW w:type="dxa" w:w="2835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Recovery steps in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 w:line="240" w:lineRule="auto"/>
            </w:pPr>
            <w:sdt>
              <w:sdtPr>
                <w:alias w:val="Critical service 1"/>
                <w:tag w:val="P5.b11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&lt;Critical service 1&gt;</w:t>
                </w:r>
              </w:sdtContent>
            </w:sdt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hours"/>
                <w:tag w:val="P5.b12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&lt;hours&gt;</w:t>
                </w:r>
              </w:sdtContent>
            </w:sdt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hours"/>
                <w:tag w:val="P5.b13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&lt;hours&gt;</w:t>
                </w:r>
              </w:sdtContent>
            </w:sdt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sdt>
              <w:sdtPr>
                <w:alias w:val="document or runbook"/>
                <w:tag w:val="P5.b14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&lt;document or runbook&gt;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 w:line="240" w:lineRule="auto"/>
            </w:pPr>
            <w:sdt>
              <w:sdtPr>
                <w:alias w:val="Critical service 2"/>
                <w:tag w:val="P5.b15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&lt;Critical service 2&gt;</w:t>
                </w:r>
              </w:sdtContent>
            </w:sdt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hours"/>
                <w:tag w:val="P5.b16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&lt;hours&gt;</w:t>
                </w:r>
              </w:sdtContent>
            </w:sdt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hours"/>
                <w:tag w:val="P5.b17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&lt;hours&gt;</w:t>
                </w:r>
              </w:sdtContent>
            </w:sdt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sdt>
              <w:sdtPr>
                <w:alias w:val="document or runbook"/>
                <w:tag w:val="P5.b18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&lt;document or runbook&gt;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 w:line="240" w:lineRule="auto"/>
            </w:pPr>
            <w:sdt>
              <w:sdtPr>
                <w:alias w:val="Critical service 3"/>
                <w:tag w:val="P5.b19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&lt;Critical service 3&gt;</w:t>
                </w:r>
              </w:sdtContent>
            </w:sdt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hours"/>
                <w:tag w:val="P5.b20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&lt;hours&gt;</w:t>
                </w:r>
              </w:sdtContent>
            </w:sdt>
          </w:p>
        </w:tc>
        <w:tc>
          <w:tcPr>
            <w:tcW w:type="dxa" w:w="2268"/>
          </w:tcPr>
          <w:p>
            <w:pPr>
              <w:spacing w:before="40" w:after="40" w:line="240" w:lineRule="auto"/>
            </w:pPr>
            <w:sdt>
              <w:sdtPr>
                <w:alias w:val="hours"/>
                <w:tag w:val="P5.b21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&lt;hours&gt;</w:t>
                </w:r>
              </w:sdtContent>
            </w:sdt>
          </w:p>
        </w:tc>
        <w:tc>
          <w:tcPr>
            <w:tcW w:type="dxa" w:w="2835"/>
          </w:tcPr>
          <w:p>
            <w:pPr>
              <w:spacing w:before="40" w:after="40" w:line="240" w:lineRule="auto"/>
            </w:pPr>
            <w:sdt>
              <w:sdtPr>
                <w:alias w:val="document or runbook"/>
                <w:tag w:val="P5.b22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&lt;document or runbook&gt;</w:t>
                </w:r>
              </w:sdtContent>
            </w:sdt>
          </w:p>
        </w:tc>
      </w:tr>
    </w:tbl>
    <w:p>
      <w:pPr>
        <w:spacing w:after="80"/>
      </w:pP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If the office is not available, people work from </w:t>
      </w:r>
      <w:sdt>
        <w:sdtPr>
          <w:alias w:val="home or the alternative site"/>
          <w:tag w:val="P5.b23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&lt;home or the alternative site&gt;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 No critical service depends on one building.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Backups can be restored to </w:t>
      </w:r>
      <w:sdt>
        <w:sdtPr>
          <w:alias w:val="the alternative location"/>
          <w:tag w:val="P5.b24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&lt;the alternative location&gt;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Key contacts (staff, suppliers, regulators) are kept in </w:t>
      </w:r>
      <w:sdt>
        <w:sdtPr>
          <w:alias w:val="where the contact list is kept"/>
          <w:tag w:val="P5.b25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&lt;where the contact list is kept&gt;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6. Testing and keeping it current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The recovery steps are tested at least </w:t>
      </w:r>
      <w:sdt>
        <w:sdtPr>
          <w:alias w:val="once a year"/>
          <w:tag w:val="P5.b26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&lt;once a year&gt;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, and the result and the fixes are recorded.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This plan is reviewed after every Critical incident, after every test, and at least once a year.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Where this comes from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26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Reference</w:t>
            </w:r>
          </w:p>
        </w:tc>
        <w:tc>
          <w:tcPr>
            <w:tcW w:type="dxa" w:w="7483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Requirement addressed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5.24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Incident management planning and preparation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5.25 to 5.27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Assessing, responding to and learning from incidents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5.28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Collection of evidence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5.29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 during disruption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5.30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ICT readiness for business continuity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6.8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 event reporting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41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 w:eastAsia="Arial"/>
        <w:b w:val="0"/>
        <w:i w:val="0"/>
        <w:color w:val="5B6678"/>
        <w:sz w:val="17"/>
      </w:rPr>
      <w:t xml:space="preserve">Incident Response and Business Continuity Plan    ·    Page </w:t>
    </w:r>
    <w:r>
      <w:rPr>
        <w:rFonts w:ascii="Arial" w:hAnsi="Arial" w:cs="Arial" w:eastAsia="Arial"/>
        <w:b w:val="0"/>
        <w:i w:val="0"/>
        <w:color w:val="5B6678"/>
        <w:sz w:val="17"/>
      </w:rPr>
      <w:fldChar w:fldCharType="begin"/>
      <w:instrText xml:space="preserve">PAGE</w:instrText>
      <w:fldChar w:fldCharType="end"/>
    </w:r>
    <w:r>
      <w:rPr>
        <w:rFonts w:ascii="Arial" w:hAnsi="Arial" w:cs="Arial" w:eastAsia="Arial"/>
        <w:b w:val="0"/>
        <w:i w:val="0"/>
        <w:color w:val="5B6678"/>
        <w:sz w:val="17"/>
      </w:rPr>
      <w:t xml:space="preserve"> of </w:t>
    </w:r>
    <w:r>
      <w:rPr>
        <w:rFonts w:ascii="Arial" w:hAnsi="Arial" w:cs="Arial" w:eastAsia="Arial"/>
        <w:b w:val="0"/>
        <w:i w:val="0"/>
        <w:color w:val="5B6678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rFonts w:ascii="Arial" w:hAnsi="Arial" w:cs="Arial" w:eastAsia="Arial"/>
            <w:b/>
            <w:i w:val="0"/>
            <w:color w:val="1B253B"/>
            <w:sz w:val="18"/>
            <w:highlight w:val="yellow"/>
          </w:rPr>
          <w:t>&lt;Company name&gt;</w:t>
        </w:r>
      </w:sdtContent>
    </w:sdt>
    <w:r>
      <w:t xml:space="preserve">    </w:t>
    </w:r>
    <w:r>
      <w:rPr>
        <w:rFonts w:ascii="Arial" w:hAnsi="Arial" w:cs="Arial" w:eastAsia="Arial"/>
        <w:b w:val="0"/>
        <w:i w:val="0"/>
        <w:color w:val="5B6678"/>
        <w:sz w:val="18"/>
      </w:rPr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