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Risk Assessment and Risk Treatment Process</w:t>
      </w:r>
    </w:p>
    <w:p>
      <w:pPr>
        <w:keepNext w:val="0"/>
        <w:spacing w:before="0" w:after="200" w:line="240" w:lineRule="auto"/>
      </w:pPr>
      <w:r>
        <w:rPr>
          <w:rFonts w:ascii="Arial" w:hAnsi="Arial" w:cs="Arial" w:eastAsia="Arial"/>
          <w:b w:val="0"/>
          <w:i w:val="0"/>
          <w:color w:val="5B6678"/>
          <w:sz w:val="21"/>
        </w:rPr>
        <w:t xml:space="preserve">How </w:t>
      </w:r>
      <w:sdt>
        <w:sdtPr>
          <w:alias w:val="Company name"/>
          <w:tag w:val="company"/>
        </w:sdtPr>
        <w:sdtContent>
          <w:r>
            <w:rPr>
              <w:rFonts w:ascii="Arial" w:hAnsi="Arial" w:cs="Arial" w:eastAsia="Arial"/>
              <w:b w:val="0"/>
              <w:i w:val="0"/>
              <w:color w:val="5B6678"/>
              <w:sz w:val="21"/>
              <w:highlight w:val="yellow"/>
            </w:rPr>
            <w:t>&lt;Company name&gt;</w:t>
          </w:r>
        </w:sdtContent>
      </w:sdt>
      <w:r>
        <w:rPr>
          <w:rFonts w:ascii="Arial" w:hAnsi="Arial" w:cs="Arial" w:eastAsia="Arial"/>
          <w:b w:val="0"/>
          <w:i w:val="0"/>
          <w:color w:val="5B6678"/>
          <w:sz w:val="21"/>
        </w:rPr>
        <w:t xml:space="preserve"> finds, scores and treats the risks to its information.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ISMS-04</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out how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identifies, analyses, evaluates and treats information security risks, as required by ISO/IEC 27001:2022, clauses 6.1.2 and 6.1.3. Following the same method every time means results can be compared and repeated, and that decisions about risk are made by the right people on the same basis.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all information, assets, processes, systems and suppliers inside the scope of the ISMS (ISMS-01).</w:t>
      </w:r>
    </w:p>
    <w:p>
      <w:pPr>
        <w:keepNext/>
        <w:spacing w:before="280" w:after="120" w:line="264" w:lineRule="auto"/>
      </w:pPr>
      <w:r>
        <w:rPr>
          <w:rFonts w:ascii="Arial" w:hAnsi="Arial" w:cs="Arial" w:eastAsia="Arial"/>
          <w:b/>
          <w:i w:val="0"/>
          <w:color w:val="1B253B"/>
          <w:sz w:val="28"/>
        </w:rPr>
        <w:t>3. Roles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6912"/>
            <w:shd w:val="clear" w:color="auto" w:fill="DCE6F5"/>
          </w:tcPr>
          <w:p>
            <w:pPr>
              <w:keepNext w:val="0"/>
              <w:spacing w:before="40" w:after="40" w:line="240" w:lineRule="auto"/>
            </w:pPr>
            <w:r>
              <w:rPr>
                <w:rFonts w:ascii="Arial" w:hAnsi="Arial" w:cs="Arial" w:eastAsia="Arial"/>
                <w:b/>
                <w:i w:val="0"/>
                <w:color w:val="1B253B"/>
                <w:sz w:val="18"/>
              </w:rPr>
              <w:t>What they do in this process</w:t>
            </w:r>
          </w:p>
        </w:tc>
      </w:tr>
      <w:tr>
        <w:trPr>
          <w:cantSplit w:val="true"/>
        </w:trPr>
        <w:tc>
          <w:tcPr>
            <w:tcW w:type="dxa" w:w="2304"/>
          </w:tcPr>
          <w:p>
            <w:pPr>
              <w:keepNext w:val="0"/>
              <w:spacing w:before="40" w:after="40" w:line="240" w:lineRule="auto"/>
            </w:pPr>
            <w:r>
              <w:rPr>
                <w:rFonts w:ascii="Arial" w:hAnsi="Arial" w:cs="Arial" w:eastAsia="Arial"/>
                <w:b w:val="0"/>
                <w:i w:val="0"/>
                <w:sz w:val="18"/>
              </w:rPr>
              <w:t>Top management</w:t>
            </w:r>
          </w:p>
        </w:tc>
        <w:tc>
          <w:tcPr>
            <w:tcW w:type="dxa" w:w="6912"/>
          </w:tcPr>
          <w:p>
            <w:pPr>
              <w:keepNext w:val="0"/>
              <w:spacing w:before="40" w:after="40" w:line="240" w:lineRule="auto"/>
            </w:pPr>
            <w:r>
              <w:rPr>
                <w:rFonts w:ascii="Arial" w:hAnsi="Arial" w:cs="Arial" w:eastAsia="Arial"/>
                <w:b w:val="0"/>
                <w:i w:val="0"/>
                <w:sz w:val="18"/>
              </w:rPr>
              <w:t>Sets the risk acceptance criteria, approves the risk treatment plan and accepts risks above the owner's limit.</w:t>
            </w:r>
          </w:p>
        </w:tc>
      </w:tr>
      <w:tr>
        <w:trPr>
          <w:cantSplit w:val="true"/>
        </w:trPr>
        <w:tc>
          <w:tcPr>
            <w:tcW w:type="dxa" w:w="2304"/>
          </w:tcPr>
          <w:p>
            <w:pPr>
              <w:keepNext w:val="0"/>
              <w:spacing w:before="40" w:after="40" w:line="240" w:lineRule="auto"/>
            </w:pPr>
            <w:r>
              <w:rPr>
                <w:rFonts w:ascii="Arial" w:hAnsi="Arial" w:cs="Arial" w:eastAsia="Arial"/>
                <w:b w:val="0"/>
                <w:i w:val="0"/>
                <w:sz w:val="18"/>
              </w:rPr>
              <w:t>ISMS Manager</w:t>
            </w:r>
          </w:p>
        </w:tc>
        <w:tc>
          <w:tcPr>
            <w:tcW w:type="dxa" w:w="6912"/>
          </w:tcPr>
          <w:p>
            <w:pPr>
              <w:keepNext w:val="0"/>
              <w:spacing w:before="40" w:after="40" w:line="240" w:lineRule="auto"/>
            </w:pPr>
            <w:r>
              <w:rPr>
                <w:rFonts w:ascii="Arial" w:hAnsi="Arial" w:cs="Arial" w:eastAsia="Arial"/>
                <w:b w:val="0"/>
                <w:i w:val="0"/>
                <w:sz w:val="18"/>
              </w:rPr>
              <w:t>Owns this process, runs the assessments, keeps the risk register and reports on risk.</w:t>
            </w:r>
          </w:p>
        </w:tc>
      </w:tr>
      <w:tr>
        <w:trPr>
          <w:cantSplit w:val="true"/>
        </w:trPr>
        <w:tc>
          <w:tcPr>
            <w:tcW w:type="dxa" w:w="2304"/>
          </w:tcPr>
          <w:p>
            <w:pPr>
              <w:keepNext w:val="0"/>
              <w:spacing w:before="40" w:after="40" w:line="240" w:lineRule="auto"/>
            </w:pPr>
            <w:r>
              <w:rPr>
                <w:rFonts w:ascii="Arial" w:hAnsi="Arial" w:cs="Arial" w:eastAsia="Arial"/>
                <w:b w:val="0"/>
                <w:i w:val="0"/>
                <w:sz w:val="18"/>
              </w:rPr>
              <w:t>Risk owner</w:t>
            </w:r>
          </w:p>
        </w:tc>
        <w:tc>
          <w:tcPr>
            <w:tcW w:type="dxa" w:w="6912"/>
          </w:tcPr>
          <w:p>
            <w:pPr>
              <w:keepNext w:val="0"/>
              <w:spacing w:before="40" w:after="40" w:line="240" w:lineRule="auto"/>
            </w:pPr>
            <w:r>
              <w:rPr>
                <w:rFonts w:ascii="Arial" w:hAnsi="Arial" w:cs="Arial" w:eastAsia="Arial"/>
                <w:b w:val="0"/>
                <w:i w:val="0"/>
                <w:sz w:val="18"/>
              </w:rPr>
              <w:t>A person with the authority to manage a risk. Decides the treatment and accepts the residual risk.</w:t>
            </w:r>
          </w:p>
        </w:tc>
      </w:tr>
      <w:tr>
        <w:trPr>
          <w:cantSplit w:val="true"/>
        </w:trPr>
        <w:tc>
          <w:tcPr>
            <w:tcW w:type="dxa" w:w="2304"/>
          </w:tcPr>
          <w:p>
            <w:pPr>
              <w:keepNext w:val="0"/>
              <w:spacing w:before="40" w:after="40" w:line="240" w:lineRule="auto"/>
            </w:pPr>
            <w:r>
              <w:rPr>
                <w:rFonts w:ascii="Arial" w:hAnsi="Arial" w:cs="Arial" w:eastAsia="Arial"/>
                <w:b w:val="0"/>
                <w:i w:val="0"/>
                <w:sz w:val="18"/>
              </w:rPr>
              <w:t>Asset owner</w:t>
            </w:r>
          </w:p>
        </w:tc>
        <w:tc>
          <w:tcPr>
            <w:tcW w:type="dxa" w:w="6912"/>
          </w:tcPr>
          <w:p>
            <w:pPr>
              <w:keepNext w:val="0"/>
              <w:spacing w:before="40" w:after="40" w:line="240" w:lineRule="auto"/>
            </w:pPr>
            <w:r>
              <w:rPr>
                <w:rFonts w:ascii="Arial" w:hAnsi="Arial" w:cs="Arial" w:eastAsia="Arial"/>
                <w:b w:val="0"/>
                <w:i w:val="0"/>
                <w:sz w:val="18"/>
              </w:rPr>
              <w:t>Helps identify the threats and vulnerabilities that affect their asset.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The process in outline</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Identify</w:t>
      </w:r>
      <w:r>
        <w:rPr>
          <w:rFonts w:ascii="Arial" w:hAnsi="Arial" w:cs="Arial" w:eastAsia="Arial"/>
          <w:b w:val="0"/>
          <w:i w:val="0"/>
          <w:sz w:val="21"/>
        </w:rPr>
        <w:t xml:space="preserve"> the assets and the risks that could harm their confidentiality, integrity or availability.</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Analyse</w:t>
      </w:r>
      <w:r>
        <w:rPr>
          <w:rFonts w:ascii="Arial" w:hAnsi="Arial" w:cs="Arial" w:eastAsia="Arial"/>
          <w:b w:val="0"/>
          <w:i w:val="0"/>
          <w:sz w:val="21"/>
        </w:rPr>
        <w:t xml:space="preserve"> each risk: how likely is it, and how bad would it be?</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Evaluate</w:t>
      </w:r>
      <w:r>
        <w:rPr>
          <w:rFonts w:ascii="Arial" w:hAnsi="Arial" w:cs="Arial" w:eastAsia="Arial"/>
          <w:b w:val="0"/>
          <w:i w:val="0"/>
          <w:sz w:val="21"/>
        </w:rPr>
        <w:t xml:space="preserve"> the result against the risk criteria below, and rank the risks.</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Treat</w:t>
      </w:r>
      <w:r>
        <w:rPr>
          <w:rFonts w:ascii="Arial" w:hAnsi="Arial" w:cs="Arial" w:eastAsia="Arial"/>
          <w:b w:val="0"/>
          <w:i w:val="0"/>
          <w:sz w:val="21"/>
        </w:rPr>
        <w:t xml:space="preserve"> every risk above the acceptable level: choose an option and the controls to carry it out.</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Check</w:t>
      </w:r>
      <w:r>
        <w:rPr>
          <w:rFonts w:ascii="Arial" w:hAnsi="Arial" w:cs="Arial" w:eastAsia="Arial"/>
          <w:b w:val="0"/>
          <w:i w:val="0"/>
          <w:sz w:val="21"/>
        </w:rPr>
        <w:t xml:space="preserve"> the controls against Annex A of ISO/IEC 27001 to be sure nothing needed has been missed, and record the result in the Statement of Applicability (ISMS-11).</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Plan</w:t>
      </w:r>
      <w:r>
        <w:rPr>
          <w:rFonts w:ascii="Arial" w:hAnsi="Arial" w:cs="Arial" w:eastAsia="Arial"/>
          <w:b w:val="0"/>
          <w:i w:val="0"/>
          <w:sz w:val="21"/>
        </w:rPr>
        <w:t xml:space="preserve"> the treatment: what, who, when and with what resources, in the risk treatment plan.</w:t>
      </w:r>
    </w:p>
    <w:p>
      <w:pPr>
        <w:keepNext w:val="0"/>
        <w:spacing w:before="0" w:after="60" w:line="276" w:lineRule="auto"/>
        <w:ind w:left="504" w:hanging="403"/>
      </w:pPr>
      <w:r>
        <w:rPr>
          <w:rFonts w:ascii="Arial" w:hAnsi="Arial" w:cs="Arial" w:eastAsia="Arial"/>
          <w:b w:val="0"/>
          <w:i w:val="0"/>
          <w:sz w:val="21"/>
        </w:rPr>
        <w:t xml:space="preserve">7.  </w:t>
      </w:r>
      <w:r>
        <w:rPr>
          <w:rFonts w:ascii="Arial" w:hAnsi="Arial" w:cs="Arial" w:eastAsia="Arial"/>
          <w:b/>
          <w:i w:val="0"/>
          <w:sz w:val="21"/>
        </w:rPr>
        <w:t>Accept</w:t>
      </w:r>
      <w:r>
        <w:rPr>
          <w:rFonts w:ascii="Arial" w:hAnsi="Arial" w:cs="Arial" w:eastAsia="Arial"/>
          <w:b w:val="0"/>
          <w:i w:val="0"/>
          <w:sz w:val="21"/>
        </w:rPr>
        <w:t xml:space="preserve"> the residual risk in writing, once the treatment is done.</w:t>
      </w:r>
    </w:p>
    <w:p>
      <w:pPr>
        <w:keepNext w:val="0"/>
        <w:spacing w:before="0" w:after="60" w:line="276" w:lineRule="auto"/>
        <w:ind w:left="504" w:hanging="403"/>
      </w:pPr>
      <w:r>
        <w:rPr>
          <w:rFonts w:ascii="Arial" w:hAnsi="Arial" w:cs="Arial" w:eastAsia="Arial"/>
          <w:b w:val="0"/>
          <w:i w:val="0"/>
          <w:sz w:val="21"/>
        </w:rPr>
        <w:t xml:space="preserve">8.  </w:t>
      </w:r>
      <w:r>
        <w:rPr>
          <w:rFonts w:ascii="Arial" w:hAnsi="Arial" w:cs="Arial" w:eastAsia="Arial"/>
          <w:b/>
          <w:i w:val="0"/>
          <w:sz w:val="21"/>
        </w:rPr>
        <w:t>Review</w:t>
      </w:r>
      <w:r>
        <w:rPr>
          <w:rFonts w:ascii="Arial" w:hAnsi="Arial" w:cs="Arial" w:eastAsia="Arial"/>
          <w:b w:val="0"/>
          <w:i w:val="0"/>
          <w:sz w:val="21"/>
        </w:rPr>
        <w:t xml:space="preserve"> risks regularly, and whenever something changes.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Risk criteria</w:t>
      </w:r>
    </w:p>
    <w:p>
      <w:pPr>
        <w:keepNext/>
        <w:spacing w:before="160" w:after="80" w:line="264" w:lineRule="auto"/>
      </w:pPr>
      <w:r>
        <w:rPr>
          <w:rFonts w:ascii="Arial" w:hAnsi="Arial" w:cs="Arial" w:eastAsia="Arial"/>
          <w:b/>
          <w:i w:val="0"/>
          <w:color w:val="1B253B"/>
          <w:sz w:val="23"/>
        </w:rPr>
        <w:t>Likelihood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Level</w:t>
            </w:r>
          </w:p>
        </w:tc>
        <w:tc>
          <w:tcPr>
            <w:tcW w:type="dxa" w:w="6192"/>
            <w:shd w:val="clear" w:color="auto" w:fill="DCE6F5"/>
          </w:tcPr>
          <w:p>
            <w:pPr>
              <w:keepNext w:val="0"/>
              <w:spacing w:before="40" w:after="40" w:line="240" w:lineRule="auto"/>
            </w:pPr>
            <w:r>
              <w:rPr>
                <w:rFonts w:ascii="Arial" w:hAnsi="Arial" w:cs="Arial" w:eastAsia="Arial"/>
                <w:b/>
                <w:i w:val="0"/>
                <w:color w:val="1B253B"/>
                <w:sz w:val="18"/>
              </w:rPr>
              <w:t>Meaning</w:t>
            </w:r>
          </w:p>
        </w:tc>
      </w:tr>
      <w:tr>
        <w:trPr>
          <w:cantSplit w:val="true"/>
        </w:trPr>
        <w:tc>
          <w:tcPr>
            <w:tcW w:type="dxa" w:w="1008"/>
          </w:tcPr>
          <w:p>
            <w:pPr>
              <w:keepNext w:val="0"/>
              <w:spacing w:before="40" w:after="40" w:line="240" w:lineRule="auto"/>
            </w:pPr>
            <w:r>
              <w:rPr>
                <w:rFonts w:ascii="Arial" w:hAnsi="Arial" w:cs="Arial" w:eastAsia="Arial"/>
                <w:b w:val="0"/>
                <w:i w:val="0"/>
                <w:sz w:val="18"/>
              </w:rPr>
              <w:t>1</w:t>
            </w:r>
          </w:p>
        </w:tc>
        <w:tc>
          <w:tcPr>
            <w:tcW w:type="dxa" w:w="2016"/>
          </w:tcPr>
          <w:p>
            <w:pPr>
              <w:keepNext w:val="0"/>
              <w:spacing w:before="40" w:after="40" w:line="240" w:lineRule="auto"/>
            </w:pPr>
            <w:r>
              <w:rPr>
                <w:rFonts w:ascii="Arial" w:hAnsi="Arial" w:cs="Arial" w:eastAsia="Arial"/>
                <w:b w:val="0"/>
                <w:i w:val="0"/>
                <w:sz w:val="18"/>
              </w:rPr>
              <w:t>Rare</w:t>
            </w:r>
          </w:p>
        </w:tc>
        <w:tc>
          <w:tcPr>
            <w:tcW w:type="dxa" w:w="6192"/>
          </w:tcPr>
          <w:p>
            <w:pPr>
              <w:keepNext w:val="0"/>
              <w:spacing w:before="40" w:after="40" w:line="240" w:lineRule="auto"/>
            </w:pPr>
            <w:r>
              <w:rPr>
                <w:rFonts w:ascii="Arial" w:hAnsi="Arial" w:cs="Arial" w:eastAsia="Arial"/>
                <w:b w:val="0"/>
                <w:i w:val="0"/>
                <w:sz w:val="18"/>
              </w:rPr>
              <w:t xml:space="preserve">Not expected to happen in the next </w:t>
            </w:r>
            <w:sdt>
              <w:sdtPr>
                <w:alias w:val="Rare: not expected in the next ... years"/>
                <w:tag w:val="04.rare"/>
              </w:sdtPr>
              <w:sdtContent>
                <w:r>
                  <w:rPr>
                    <w:rFonts w:ascii="Arial" w:hAnsi="Arial" w:cs="Arial" w:eastAsia="Arial"/>
                    <w:b w:val="0"/>
                    <w:i w:val="0"/>
                    <w:sz w:val="18"/>
                    <w:highlight w:val="yellow"/>
                  </w:rPr>
                  <w:t>&lt;five&gt;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2</w:t>
            </w:r>
          </w:p>
        </w:tc>
        <w:tc>
          <w:tcPr>
            <w:tcW w:type="dxa" w:w="2016"/>
          </w:tcPr>
          <w:p>
            <w:pPr>
              <w:keepNext w:val="0"/>
              <w:spacing w:before="40" w:after="40" w:line="240" w:lineRule="auto"/>
            </w:pPr>
            <w:r>
              <w:rPr>
                <w:rFonts w:ascii="Arial" w:hAnsi="Arial" w:cs="Arial" w:eastAsia="Arial"/>
                <w:b w:val="0"/>
                <w:i w:val="0"/>
                <w:sz w:val="18"/>
              </w:rPr>
              <w:t>Unlikely</w:t>
            </w:r>
          </w:p>
        </w:tc>
        <w:tc>
          <w:tcPr>
            <w:tcW w:type="dxa" w:w="6192"/>
          </w:tcPr>
          <w:p>
            <w:pPr>
              <w:keepNext w:val="0"/>
              <w:spacing w:before="40" w:after="40" w:line="240" w:lineRule="auto"/>
            </w:pPr>
            <w:r>
              <w:rPr>
                <w:rFonts w:ascii="Arial" w:hAnsi="Arial" w:cs="Arial" w:eastAsia="Arial"/>
                <w:b w:val="0"/>
                <w:i w:val="0"/>
                <w:sz w:val="18"/>
              </w:rPr>
              <w:t xml:space="preserve">Could happen once in </w:t>
            </w:r>
            <w:sdt>
              <w:sdtPr>
                <w:alias w:val="Unlikely: could happen once in ... years"/>
                <w:tag w:val="04.unlikely"/>
              </w:sdtPr>
              <w:sdtContent>
                <w:r>
                  <w:rPr>
                    <w:rFonts w:ascii="Arial" w:hAnsi="Arial" w:cs="Arial" w:eastAsia="Arial"/>
                    <w:b w:val="0"/>
                    <w:i w:val="0"/>
                    <w:sz w:val="18"/>
                    <w:highlight w:val="yellow"/>
                  </w:rPr>
                  <w:t>&lt;two to five&gt;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3</w:t>
            </w:r>
          </w:p>
        </w:tc>
        <w:tc>
          <w:tcPr>
            <w:tcW w:type="dxa" w:w="2016"/>
          </w:tcPr>
          <w:p>
            <w:pPr>
              <w:keepNext w:val="0"/>
              <w:spacing w:before="40" w:after="40" w:line="240" w:lineRule="auto"/>
            </w:pPr>
            <w:r>
              <w:rPr>
                <w:rFonts w:ascii="Arial" w:hAnsi="Arial" w:cs="Arial" w:eastAsia="Arial"/>
                <w:b w:val="0"/>
                <w:i w:val="0"/>
                <w:sz w:val="18"/>
              </w:rPr>
              <w:t>Possible</w:t>
            </w:r>
          </w:p>
        </w:tc>
        <w:tc>
          <w:tcPr>
            <w:tcW w:type="dxa" w:w="6192"/>
          </w:tcPr>
          <w:p>
            <w:pPr>
              <w:keepNext w:val="0"/>
              <w:spacing w:before="40" w:after="40" w:line="240" w:lineRule="auto"/>
            </w:pPr>
            <w:r>
              <w:rPr>
                <w:rFonts w:ascii="Arial" w:hAnsi="Arial" w:cs="Arial" w:eastAsia="Arial"/>
                <w:b w:val="0"/>
                <w:i w:val="0"/>
                <w:sz w:val="18"/>
              </w:rPr>
              <w:t xml:space="preserve">Could happen once in </w:t>
            </w:r>
            <w:sdt>
              <w:sdtPr>
                <w:alias w:val="Possible: could happen once in ... years"/>
                <w:tag w:val="04.possible"/>
              </w:sdtPr>
              <w:sdtContent>
                <w:r>
                  <w:rPr>
                    <w:rFonts w:ascii="Arial" w:hAnsi="Arial" w:cs="Arial" w:eastAsia="Arial"/>
                    <w:b w:val="0"/>
                    <w:i w:val="0"/>
                    <w:sz w:val="18"/>
                    <w:highlight w:val="yellow"/>
                  </w:rPr>
                  <w:t>&lt;one to two&gt;</w:t>
                </w:r>
              </w:sdtContent>
            </w:sdt>
            <w:r>
              <w:rPr>
                <w:rFonts w:ascii="Arial" w:hAnsi="Arial" w:cs="Arial" w:eastAsia="Arial"/>
                <w:b w:val="0"/>
                <w:i w:val="0"/>
                <w:sz w:val="18"/>
              </w:rPr>
              <w:t xml:space="preserve"> years.</w:t>
            </w:r>
          </w:p>
        </w:tc>
      </w:tr>
      <w:tr>
        <w:trPr>
          <w:cantSplit w:val="true"/>
        </w:trPr>
        <w:tc>
          <w:tcPr>
            <w:tcW w:type="dxa" w:w="1008"/>
          </w:tcPr>
          <w:p>
            <w:pPr>
              <w:keepNext w:val="0"/>
              <w:spacing w:before="40" w:after="40" w:line="240" w:lineRule="auto"/>
            </w:pPr>
            <w:r>
              <w:rPr>
                <w:rFonts w:ascii="Arial" w:hAnsi="Arial" w:cs="Arial" w:eastAsia="Arial"/>
                <w:b w:val="0"/>
                <w:i w:val="0"/>
                <w:sz w:val="18"/>
              </w:rPr>
              <w:t>4</w:t>
            </w:r>
          </w:p>
        </w:tc>
        <w:tc>
          <w:tcPr>
            <w:tcW w:type="dxa" w:w="2016"/>
          </w:tcPr>
          <w:p>
            <w:pPr>
              <w:keepNext w:val="0"/>
              <w:spacing w:before="40" w:after="40" w:line="240" w:lineRule="auto"/>
            </w:pPr>
            <w:r>
              <w:rPr>
                <w:rFonts w:ascii="Arial" w:hAnsi="Arial" w:cs="Arial" w:eastAsia="Arial"/>
                <w:b w:val="0"/>
                <w:i w:val="0"/>
                <w:sz w:val="18"/>
              </w:rPr>
              <w:t>Likely</w:t>
            </w:r>
          </w:p>
        </w:tc>
        <w:tc>
          <w:tcPr>
            <w:tcW w:type="dxa" w:w="6192"/>
          </w:tcPr>
          <w:p>
            <w:pPr>
              <w:keepNext w:val="0"/>
              <w:spacing w:before="40" w:after="40" w:line="240" w:lineRule="auto"/>
            </w:pPr>
            <w:r>
              <w:rPr>
                <w:rFonts w:ascii="Arial" w:hAnsi="Arial" w:cs="Arial" w:eastAsia="Arial"/>
                <w:b w:val="0"/>
                <w:i w:val="0"/>
                <w:sz w:val="18"/>
              </w:rPr>
              <w:t>Could happen several times a year.</w:t>
            </w:r>
          </w:p>
        </w:tc>
      </w:tr>
      <w:tr>
        <w:trPr>
          <w:cantSplit w:val="true"/>
        </w:trPr>
        <w:tc>
          <w:tcPr>
            <w:tcW w:type="dxa" w:w="1008"/>
          </w:tcPr>
          <w:p>
            <w:pPr>
              <w:keepNext w:val="0"/>
              <w:spacing w:before="40" w:after="40" w:line="240" w:lineRule="auto"/>
            </w:pPr>
            <w:r>
              <w:rPr>
                <w:rFonts w:ascii="Arial" w:hAnsi="Arial" w:cs="Arial" w:eastAsia="Arial"/>
                <w:b w:val="0"/>
                <w:i w:val="0"/>
                <w:sz w:val="18"/>
              </w:rPr>
              <w:t>5</w:t>
            </w:r>
          </w:p>
        </w:tc>
        <w:tc>
          <w:tcPr>
            <w:tcW w:type="dxa" w:w="2016"/>
          </w:tcPr>
          <w:p>
            <w:pPr>
              <w:keepNext w:val="0"/>
              <w:spacing w:before="40" w:after="40" w:line="240" w:lineRule="auto"/>
            </w:pPr>
            <w:r>
              <w:rPr>
                <w:rFonts w:ascii="Arial" w:hAnsi="Arial" w:cs="Arial" w:eastAsia="Arial"/>
                <w:b w:val="0"/>
                <w:i w:val="0"/>
                <w:sz w:val="18"/>
              </w:rPr>
              <w:t>Almost certain</w:t>
            </w:r>
          </w:p>
        </w:tc>
        <w:tc>
          <w:tcPr>
            <w:tcW w:type="dxa" w:w="6192"/>
          </w:tcPr>
          <w:p>
            <w:pPr>
              <w:keepNext w:val="0"/>
              <w:spacing w:before="40" w:after="40" w:line="240" w:lineRule="auto"/>
            </w:pPr>
            <w:r>
              <w:rPr>
                <w:rFonts w:ascii="Arial" w:hAnsi="Arial" w:cs="Arial" w:eastAsia="Arial"/>
                <w:b w:val="0"/>
                <w:i w:val="0"/>
                <w:sz w:val="18"/>
              </w:rPr>
              <w:t>Expected to happen monthly or more often.</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Impact</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Level</w:t>
            </w:r>
          </w:p>
        </w:tc>
        <w:tc>
          <w:tcPr>
            <w:tcW w:type="dxa" w:w="6480"/>
            <w:shd w:val="clear" w:color="auto" w:fill="DCE6F5"/>
          </w:tcPr>
          <w:p>
            <w:pPr>
              <w:keepNext w:val="0"/>
              <w:spacing w:before="40" w:after="40" w:line="240" w:lineRule="auto"/>
            </w:pPr>
            <w:r>
              <w:rPr>
                <w:rFonts w:ascii="Arial" w:hAnsi="Arial" w:cs="Arial" w:eastAsia="Arial"/>
                <w:b/>
                <w:i w:val="0"/>
                <w:color w:val="1B253B"/>
                <w:sz w:val="18"/>
              </w:rPr>
              <w:t>Effect on the organisation</w:t>
            </w:r>
          </w:p>
        </w:tc>
      </w:tr>
      <w:tr>
        <w:trPr>
          <w:cantSplit w:val="true"/>
        </w:trPr>
        <w:tc>
          <w:tcPr>
            <w:tcW w:type="dxa" w:w="1008"/>
          </w:tcPr>
          <w:p>
            <w:pPr>
              <w:keepNext w:val="0"/>
              <w:spacing w:before="40" w:after="40" w:line="240" w:lineRule="auto"/>
            </w:pPr>
            <w:r>
              <w:rPr>
                <w:rFonts w:ascii="Arial" w:hAnsi="Arial" w:cs="Arial" w:eastAsia="Arial"/>
                <w:b w:val="0"/>
                <w:i w:val="0"/>
                <w:sz w:val="18"/>
              </w:rPr>
              <w:t>1</w:t>
            </w:r>
          </w:p>
        </w:tc>
        <w:tc>
          <w:tcPr>
            <w:tcW w:type="dxa" w:w="1728"/>
          </w:tcPr>
          <w:p>
            <w:pPr>
              <w:keepNext w:val="0"/>
              <w:spacing w:before="40" w:after="40" w:line="240" w:lineRule="auto"/>
            </w:pPr>
            <w:r>
              <w:rPr>
                <w:rFonts w:ascii="Arial" w:hAnsi="Arial" w:cs="Arial" w:eastAsia="Arial"/>
                <w:b w:val="0"/>
                <w:i w:val="0"/>
                <w:sz w:val="18"/>
              </w:rPr>
              <w:t>Minor</w:t>
            </w:r>
          </w:p>
        </w:tc>
        <w:tc>
          <w:tcPr>
            <w:tcW w:type="dxa" w:w="6480"/>
          </w:tcPr>
          <w:p>
            <w:pPr>
              <w:keepNext w:val="0"/>
              <w:spacing w:before="40" w:after="40" w:line="240" w:lineRule="auto"/>
            </w:pPr>
            <w:r>
              <w:rPr>
                <w:rFonts w:ascii="Arial" w:hAnsi="Arial" w:cs="Arial" w:eastAsia="Arial"/>
                <w:b w:val="0"/>
                <w:i w:val="0"/>
                <w:sz w:val="18"/>
              </w:rPr>
              <w:t xml:space="preserve">No lasting effect. Fixed within normal work. Cost below </w:t>
            </w:r>
            <w:sdt>
              <w:sdtPr>
                <w:alias w:val="Minor impact: cost below"/>
                <w:tag w:val="04.cost1"/>
              </w:sdtPr>
              <w:sdtContent>
                <w:r>
                  <w:rPr>
                    <w:rFonts w:ascii="Arial" w:hAnsi="Arial" w:cs="Arial" w:eastAsia="Arial"/>
                    <w:b w:val="0"/>
                    <w:i w:val="0"/>
                    <w:sz w:val="18"/>
                    <w:highlight w:val="yellow"/>
                  </w:rPr>
                  <w:t>&lt;amount&gt;</w:t>
                </w:r>
              </w:sdtContent>
            </w:sdt>
            <w:r>
              <w:rPr>
                <w:rFonts w:ascii="Arial" w:hAnsi="Arial" w:cs="Arial" w:eastAsia="Arial"/>
                <w:b w:val="0"/>
                <w:i w:val="0"/>
                <w:sz w:val="18"/>
              </w:rPr>
              <w:t>.</w:t>
            </w:r>
          </w:p>
        </w:tc>
      </w:tr>
      <w:tr>
        <w:trPr>
          <w:cantSplit w:val="true"/>
        </w:trPr>
        <w:tc>
          <w:tcPr>
            <w:tcW w:type="dxa" w:w="1008"/>
          </w:tcPr>
          <w:p>
            <w:pPr>
              <w:keepNext w:val="0"/>
              <w:spacing w:before="40" w:after="40" w:line="240" w:lineRule="auto"/>
            </w:pPr>
            <w:r>
              <w:rPr>
                <w:rFonts w:ascii="Arial" w:hAnsi="Arial" w:cs="Arial" w:eastAsia="Arial"/>
                <w:b w:val="0"/>
                <w:i w:val="0"/>
                <w:sz w:val="18"/>
              </w:rPr>
              <w:t>2</w:t>
            </w:r>
          </w:p>
        </w:tc>
        <w:tc>
          <w:tcPr>
            <w:tcW w:type="dxa" w:w="1728"/>
          </w:tcPr>
          <w:p>
            <w:pPr>
              <w:keepNext w:val="0"/>
              <w:spacing w:before="40" w:after="40" w:line="240" w:lineRule="auto"/>
            </w:pPr>
            <w:r>
              <w:rPr>
                <w:rFonts w:ascii="Arial" w:hAnsi="Arial" w:cs="Arial" w:eastAsia="Arial"/>
                <w:b w:val="0"/>
                <w:i w:val="0"/>
                <w:sz w:val="18"/>
              </w:rPr>
              <w:t>Moderate</w:t>
            </w:r>
          </w:p>
        </w:tc>
        <w:tc>
          <w:tcPr>
            <w:tcW w:type="dxa" w:w="6480"/>
          </w:tcPr>
          <w:p>
            <w:pPr>
              <w:keepNext w:val="0"/>
              <w:spacing w:before="40" w:after="40" w:line="240" w:lineRule="auto"/>
            </w:pPr>
            <w:r>
              <w:rPr>
                <w:rFonts w:ascii="Arial" w:hAnsi="Arial" w:cs="Arial" w:eastAsia="Arial"/>
                <w:b w:val="0"/>
                <w:i w:val="0"/>
                <w:sz w:val="18"/>
              </w:rPr>
              <w:t xml:space="preserve">Short disruption or limited data exposed. Cost up to </w:t>
            </w:r>
            <w:sdt>
              <w:sdtPr>
                <w:alias w:val="Moderate impact: cost up to"/>
                <w:tag w:val="04.cost2"/>
              </w:sdtPr>
              <w:sdtContent>
                <w:r>
                  <w:rPr>
                    <w:rFonts w:ascii="Arial" w:hAnsi="Arial" w:cs="Arial" w:eastAsia="Arial"/>
                    <w:b w:val="0"/>
                    <w:i w:val="0"/>
                    <w:sz w:val="18"/>
                    <w:highlight w:val="yellow"/>
                  </w:rPr>
                  <w:t>&lt;amount&gt;</w:t>
                </w:r>
              </w:sdtContent>
            </w:sdt>
            <w:r>
              <w:rPr>
                <w:rFonts w:ascii="Arial" w:hAnsi="Arial" w:cs="Arial" w:eastAsia="Arial"/>
                <w:b w:val="0"/>
                <w:i w:val="0"/>
                <w:sz w:val="18"/>
              </w:rPr>
              <w:t>. No contract or legal breach.</w:t>
            </w:r>
          </w:p>
        </w:tc>
      </w:tr>
      <w:tr>
        <w:trPr>
          <w:cantSplit w:val="true"/>
        </w:trPr>
        <w:tc>
          <w:tcPr>
            <w:tcW w:type="dxa" w:w="1008"/>
          </w:tcPr>
          <w:p>
            <w:pPr>
              <w:keepNext w:val="0"/>
              <w:spacing w:before="40" w:after="40" w:line="240" w:lineRule="auto"/>
            </w:pPr>
            <w:r>
              <w:rPr>
                <w:rFonts w:ascii="Arial" w:hAnsi="Arial" w:cs="Arial" w:eastAsia="Arial"/>
                <w:b w:val="0"/>
                <w:i w:val="0"/>
                <w:sz w:val="18"/>
              </w:rPr>
              <w:t>3</w:t>
            </w:r>
          </w:p>
        </w:tc>
        <w:tc>
          <w:tcPr>
            <w:tcW w:type="dxa" w:w="1728"/>
          </w:tcPr>
          <w:p>
            <w:pPr>
              <w:keepNext w:val="0"/>
              <w:spacing w:before="40" w:after="40" w:line="240" w:lineRule="auto"/>
            </w:pPr>
            <w:r>
              <w:rPr>
                <w:rFonts w:ascii="Arial" w:hAnsi="Arial" w:cs="Arial" w:eastAsia="Arial"/>
                <w:b w:val="0"/>
                <w:i w:val="0"/>
                <w:sz w:val="18"/>
              </w:rPr>
              <w:t>Significant</w:t>
            </w:r>
          </w:p>
        </w:tc>
        <w:tc>
          <w:tcPr>
            <w:tcW w:type="dxa" w:w="6480"/>
          </w:tcPr>
          <w:p>
            <w:pPr>
              <w:keepNext w:val="0"/>
              <w:spacing w:before="40" w:after="40" w:line="240" w:lineRule="auto"/>
            </w:pPr>
            <w:r>
              <w:rPr>
                <w:rFonts w:ascii="Arial" w:hAnsi="Arial" w:cs="Arial" w:eastAsia="Arial"/>
                <w:b w:val="0"/>
                <w:i w:val="0"/>
                <w:sz w:val="18"/>
              </w:rPr>
              <w:t xml:space="preserve">Noticeable disruption, or personal data of a few people exposed. Cost up to </w:t>
            </w:r>
            <w:sdt>
              <w:sdtPr>
                <w:alias w:val="Significant impact: cost up to"/>
                <w:tag w:val="04.cost3"/>
              </w:sdtPr>
              <w:sdtContent>
                <w:r>
                  <w:rPr>
                    <w:rFonts w:ascii="Arial" w:hAnsi="Arial" w:cs="Arial" w:eastAsia="Arial"/>
                    <w:b w:val="0"/>
                    <w:i w:val="0"/>
                    <w:sz w:val="18"/>
                    <w:highlight w:val="yellow"/>
                  </w:rPr>
                  <w:t>&lt;amount&gt;</w:t>
                </w:r>
              </w:sdtContent>
            </w:sdt>
            <w:r>
              <w:rPr>
                <w:rFonts w:ascii="Arial" w:hAnsi="Arial" w:cs="Arial" w:eastAsia="Arial"/>
                <w:b w:val="0"/>
                <w:i w:val="0"/>
                <w:sz w:val="18"/>
              </w:rPr>
              <w:t>. Possible contract breach.</w:t>
            </w:r>
          </w:p>
        </w:tc>
      </w:tr>
      <w:tr>
        <w:trPr>
          <w:cantSplit w:val="true"/>
        </w:trPr>
        <w:tc>
          <w:tcPr>
            <w:tcW w:type="dxa" w:w="1008"/>
          </w:tcPr>
          <w:p>
            <w:pPr>
              <w:keepNext w:val="0"/>
              <w:spacing w:before="40" w:after="40" w:line="240" w:lineRule="auto"/>
            </w:pPr>
            <w:r>
              <w:rPr>
                <w:rFonts w:ascii="Arial" w:hAnsi="Arial" w:cs="Arial" w:eastAsia="Arial"/>
                <w:b w:val="0"/>
                <w:i w:val="0"/>
                <w:sz w:val="18"/>
              </w:rPr>
              <w:t>4</w:t>
            </w:r>
          </w:p>
        </w:tc>
        <w:tc>
          <w:tcPr>
            <w:tcW w:type="dxa" w:w="1728"/>
          </w:tcPr>
          <w:p>
            <w:pPr>
              <w:keepNext w:val="0"/>
              <w:spacing w:before="40" w:after="40" w:line="240" w:lineRule="auto"/>
            </w:pPr>
            <w:r>
              <w:rPr>
                <w:rFonts w:ascii="Arial" w:hAnsi="Arial" w:cs="Arial" w:eastAsia="Arial"/>
                <w:b w:val="0"/>
                <w:i w:val="0"/>
                <w:sz w:val="18"/>
              </w:rPr>
              <w:t>Major</w:t>
            </w:r>
          </w:p>
        </w:tc>
        <w:tc>
          <w:tcPr>
            <w:tcW w:type="dxa" w:w="6480"/>
          </w:tcPr>
          <w:p>
            <w:pPr>
              <w:keepNext w:val="0"/>
              <w:spacing w:before="40" w:after="40" w:line="240" w:lineRule="auto"/>
            </w:pPr>
            <w:r>
              <w:rPr>
                <w:rFonts w:ascii="Arial" w:hAnsi="Arial" w:cs="Arial" w:eastAsia="Arial"/>
                <w:b w:val="0"/>
                <w:i w:val="0"/>
                <w:sz w:val="18"/>
              </w:rPr>
              <w:t xml:space="preserve">Serious disruption or large amounts of data exposed. Cost up to </w:t>
            </w:r>
            <w:sdt>
              <w:sdtPr>
                <w:alias w:val="Major impact: cost up to"/>
                <w:tag w:val="04.cost4"/>
              </w:sdtPr>
              <w:sdtContent>
                <w:r>
                  <w:rPr>
                    <w:rFonts w:ascii="Arial" w:hAnsi="Arial" w:cs="Arial" w:eastAsia="Arial"/>
                    <w:b w:val="0"/>
                    <w:i w:val="0"/>
                    <w:sz w:val="18"/>
                    <w:highlight w:val="yellow"/>
                  </w:rPr>
                  <w:t>&lt;amount&gt;</w:t>
                </w:r>
              </w:sdtContent>
            </w:sdt>
            <w:r>
              <w:rPr>
                <w:rFonts w:ascii="Arial" w:hAnsi="Arial" w:cs="Arial" w:eastAsia="Arial"/>
                <w:b w:val="0"/>
                <w:i w:val="0"/>
                <w:sz w:val="18"/>
              </w:rPr>
              <w:t>. Likely legal or regulatory action. Customers lost.</w:t>
            </w:r>
          </w:p>
        </w:tc>
      </w:tr>
      <w:tr>
        <w:trPr>
          <w:cantSplit w:val="true"/>
        </w:trPr>
        <w:tc>
          <w:tcPr>
            <w:tcW w:type="dxa" w:w="1008"/>
          </w:tcPr>
          <w:p>
            <w:pPr>
              <w:keepNext w:val="0"/>
              <w:spacing w:before="40" w:after="40" w:line="240" w:lineRule="auto"/>
            </w:pPr>
            <w:r>
              <w:rPr>
                <w:rFonts w:ascii="Arial" w:hAnsi="Arial" w:cs="Arial" w:eastAsia="Arial"/>
                <w:b w:val="0"/>
                <w:i w:val="0"/>
                <w:sz w:val="18"/>
              </w:rPr>
              <w:t>5</w:t>
            </w:r>
          </w:p>
        </w:tc>
        <w:tc>
          <w:tcPr>
            <w:tcW w:type="dxa" w:w="1728"/>
          </w:tcPr>
          <w:p>
            <w:pPr>
              <w:keepNext w:val="0"/>
              <w:spacing w:before="40" w:after="40" w:line="240" w:lineRule="auto"/>
            </w:pPr>
            <w:r>
              <w:rPr>
                <w:rFonts w:ascii="Arial" w:hAnsi="Arial" w:cs="Arial" w:eastAsia="Arial"/>
                <w:b w:val="0"/>
                <w:i w:val="0"/>
                <w:sz w:val="18"/>
              </w:rPr>
              <w:t>Severe</w:t>
            </w:r>
          </w:p>
        </w:tc>
        <w:tc>
          <w:tcPr>
            <w:tcW w:type="dxa" w:w="6480"/>
          </w:tcPr>
          <w:p>
            <w:pPr>
              <w:keepNext w:val="0"/>
              <w:spacing w:before="40" w:after="40" w:line="240" w:lineRule="auto"/>
            </w:pPr>
            <w:r>
              <w:rPr>
                <w:rFonts w:ascii="Arial" w:hAnsi="Arial" w:cs="Arial" w:eastAsia="Arial"/>
                <w:b w:val="0"/>
                <w:i w:val="0"/>
                <w:sz w:val="18"/>
              </w:rPr>
              <w:t xml:space="preserve">Loss of the ability to operate, or exposure that threatens the organisation. Cost above </w:t>
            </w:r>
            <w:sdt>
              <w:sdtPr>
                <w:alias w:val="Severe impact: cost above"/>
                <w:tag w:val="04.cost5"/>
              </w:sdtPr>
              <w:sdtContent>
                <w:r>
                  <w:rPr>
                    <w:rFonts w:ascii="Arial" w:hAnsi="Arial" w:cs="Arial" w:eastAsia="Arial"/>
                    <w:b w:val="0"/>
                    <w:i w:val="0"/>
                    <w:sz w:val="18"/>
                    <w:highlight w:val="yellow"/>
                  </w:rPr>
                  <w:t>&lt;amount&gt;</w:t>
                </w:r>
              </w:sdtContent>
            </w:sdt>
            <w:r>
              <w:rPr>
                <w:rFonts w:ascii="Arial" w:hAnsi="Arial" w:cs="Arial" w:eastAsia="Arial"/>
                <w:b w:val="0"/>
                <w:i w:val="0"/>
                <w:sz w:val="18"/>
              </w:rPr>
              <w:t>. Lasting reputational damage.</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Where several kinds of impact apply, the highest score is used.</w:t>
      </w:r>
    </w:p>
    <w:p>
      <w:pPr>
        <w:keepNext/>
        <w:spacing w:before="160" w:after="80" w:line="264" w:lineRule="auto"/>
      </w:pPr>
      <w:r>
        <w:rPr>
          <w:rFonts w:ascii="Arial" w:hAnsi="Arial" w:cs="Arial" w:eastAsia="Arial"/>
          <w:b/>
          <w:i w:val="0"/>
          <w:color w:val="1B253B"/>
          <w:sz w:val="23"/>
        </w:rPr>
        <w:t>Risk score and level</w:t>
      </w:r>
    </w:p>
    <w:p>
      <w:pPr>
        <w:keepNext w:val="0"/>
        <w:spacing w:before="0" w:after="120" w:line="276" w:lineRule="auto"/>
      </w:pPr>
      <w:r>
        <w:rPr>
          <w:rFonts w:ascii="Arial" w:hAnsi="Arial" w:cs="Arial" w:eastAsia="Arial"/>
          <w:b w:val="0"/>
          <w:i w:val="0"/>
          <w:sz w:val="21"/>
        </w:rPr>
        <w:t xml:space="preserve">The risk score is </w:t>
      </w:r>
      <w:r>
        <w:rPr>
          <w:rFonts w:ascii="Arial" w:hAnsi="Arial" w:cs="Arial" w:eastAsia="Arial"/>
          <w:b/>
          <w:i w:val="0"/>
          <w:sz w:val="21"/>
        </w:rPr>
        <w:t>likelihood multiplied by impact</w:t>
      </w:r>
      <w:r>
        <w:rPr>
          <w:rFonts w:ascii="Arial" w:hAnsi="Arial" w:cs="Arial" w:eastAsia="Arial"/>
          <w:b w:val="0"/>
          <w:i w:val="0"/>
          <w:sz w:val="21"/>
        </w:rPr>
        <w:t>, from 1 to 25.</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440"/>
            <w:shd w:val="clear" w:color="auto" w:fill="DCE6F5"/>
          </w:tcPr>
          <w:p>
            <w:pPr>
              <w:keepNext w:val="0"/>
              <w:spacing w:before="40" w:after="40" w:line="240" w:lineRule="auto"/>
            </w:pPr>
            <w:r>
              <w:rPr>
                <w:rFonts w:ascii="Arial" w:hAnsi="Arial" w:cs="Arial" w:eastAsia="Arial"/>
                <w:b/>
                <w:i w:val="0"/>
                <w:color w:val="1B253B"/>
                <w:sz w:val="18"/>
              </w:rPr>
              <w:t>Score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Level</w:t>
            </w:r>
          </w:p>
        </w:tc>
        <w:tc>
          <w:tcPr>
            <w:tcW w:type="dxa" w:w="6048"/>
            <w:shd w:val="clear" w:color="auto" w:fill="DCE6F5"/>
          </w:tcPr>
          <w:p>
            <w:pPr>
              <w:keepNext w:val="0"/>
              <w:spacing w:before="40" w:after="40" w:line="240" w:lineRule="auto"/>
            </w:pPr>
            <w:r>
              <w:rPr>
                <w:rFonts w:ascii="Arial" w:hAnsi="Arial" w:cs="Arial" w:eastAsia="Arial"/>
                <w:b/>
                <w:i w:val="0"/>
                <w:color w:val="1B253B"/>
                <w:sz w:val="18"/>
              </w:rPr>
              <w:t>What happens</w:t>
            </w:r>
          </w:p>
        </w:tc>
      </w:tr>
      <w:tr>
        <w:trPr>
          <w:cantSplit w:val="true"/>
        </w:trPr>
        <w:tc>
          <w:tcPr>
            <w:tcW w:type="dxa" w:w="1440"/>
          </w:tcPr>
          <w:p>
            <w:pPr>
              <w:keepNext w:val="0"/>
              <w:spacing w:before="40" w:after="40" w:line="240" w:lineRule="auto"/>
            </w:pPr>
            <w:r>
              <w:rPr>
                <w:rFonts w:ascii="Arial" w:hAnsi="Arial" w:cs="Arial" w:eastAsia="Arial"/>
                <w:b w:val="0"/>
                <w:i w:val="0"/>
                <w:sz w:val="18"/>
              </w:rPr>
              <w:t>1 to 11</w:t>
            </w:r>
          </w:p>
        </w:tc>
        <w:tc>
          <w:tcPr>
            <w:tcW w:type="dxa" w:w="1728"/>
          </w:tcPr>
          <w:p>
            <w:pPr>
              <w:keepNext w:val="0"/>
              <w:spacing w:before="40" w:after="40" w:line="240" w:lineRule="auto"/>
            </w:pPr>
            <w:r>
              <w:rPr>
                <w:rFonts w:ascii="Arial" w:hAnsi="Arial" w:cs="Arial" w:eastAsia="Arial"/>
                <w:b w:val="0"/>
                <w:i w:val="0"/>
                <w:sz w:val="18"/>
              </w:rPr>
              <w:t>Acceptable</w:t>
            </w:r>
          </w:p>
        </w:tc>
        <w:tc>
          <w:tcPr>
            <w:tcW w:type="dxa" w:w="6048"/>
          </w:tcPr>
          <w:p>
            <w:pPr>
              <w:keepNext w:val="0"/>
              <w:spacing w:before="40" w:after="40" w:line="240" w:lineRule="auto"/>
            </w:pPr>
            <w:r>
              <w:rPr>
                <w:rFonts w:ascii="Arial" w:hAnsi="Arial" w:cs="Arial" w:eastAsia="Arial"/>
                <w:b w:val="0"/>
                <w:i w:val="0"/>
                <w:sz w:val="18"/>
              </w:rPr>
              <w:t>Monitored. No further treatment needed unless the risk owner chooses.</w:t>
            </w:r>
          </w:p>
        </w:tc>
      </w:tr>
      <w:tr>
        <w:trPr>
          <w:cantSplit w:val="true"/>
        </w:trPr>
        <w:tc>
          <w:tcPr>
            <w:tcW w:type="dxa" w:w="1440"/>
          </w:tcPr>
          <w:p>
            <w:pPr>
              <w:keepNext w:val="0"/>
              <w:spacing w:before="40" w:after="40" w:line="240" w:lineRule="auto"/>
            </w:pPr>
            <w:r>
              <w:rPr>
                <w:rFonts w:ascii="Arial" w:hAnsi="Arial" w:cs="Arial" w:eastAsia="Arial"/>
                <w:b w:val="0"/>
                <w:i w:val="0"/>
                <w:sz w:val="18"/>
              </w:rPr>
              <w:t>12 to 19</w:t>
            </w:r>
          </w:p>
        </w:tc>
        <w:tc>
          <w:tcPr>
            <w:tcW w:type="dxa" w:w="1728"/>
          </w:tcPr>
          <w:p>
            <w:pPr>
              <w:keepNext w:val="0"/>
              <w:spacing w:before="40" w:after="40" w:line="240" w:lineRule="auto"/>
            </w:pPr>
            <w:r>
              <w:rPr>
                <w:rFonts w:ascii="Arial" w:hAnsi="Arial" w:cs="Arial" w:eastAsia="Arial"/>
                <w:b w:val="0"/>
                <w:i w:val="0"/>
                <w:sz w:val="18"/>
              </w:rPr>
              <w:t>Elevated</w:t>
            </w:r>
          </w:p>
        </w:tc>
        <w:tc>
          <w:tcPr>
            <w:tcW w:type="dxa" w:w="6048"/>
          </w:tcPr>
          <w:p>
            <w:pPr>
              <w:keepNext w:val="0"/>
              <w:spacing w:before="40" w:after="40" w:line="240" w:lineRule="auto"/>
            </w:pPr>
            <w:r>
              <w:rPr>
                <w:rFonts w:ascii="Arial" w:hAnsi="Arial" w:cs="Arial" w:eastAsia="Arial"/>
                <w:b w:val="0"/>
                <w:i w:val="0"/>
                <w:sz w:val="18"/>
              </w:rPr>
              <w:t>Must have a treatment plan, owned and agreed by the risk owner, with a date.</w:t>
            </w:r>
          </w:p>
        </w:tc>
      </w:tr>
      <w:tr>
        <w:trPr>
          <w:cantSplit w:val="true"/>
        </w:trPr>
        <w:tc>
          <w:tcPr>
            <w:tcW w:type="dxa" w:w="1440"/>
          </w:tcPr>
          <w:p>
            <w:pPr>
              <w:keepNext w:val="0"/>
              <w:spacing w:before="40" w:after="40" w:line="240" w:lineRule="auto"/>
            </w:pPr>
            <w:r>
              <w:rPr>
                <w:rFonts w:ascii="Arial" w:hAnsi="Arial" w:cs="Arial" w:eastAsia="Arial"/>
                <w:b w:val="0"/>
                <w:i w:val="0"/>
                <w:sz w:val="18"/>
              </w:rPr>
              <w:t>20 to 25</w:t>
            </w:r>
          </w:p>
        </w:tc>
        <w:tc>
          <w:tcPr>
            <w:tcW w:type="dxa" w:w="1728"/>
          </w:tcPr>
          <w:p>
            <w:pPr>
              <w:keepNext w:val="0"/>
              <w:spacing w:before="40" w:after="40" w:line="240" w:lineRule="auto"/>
            </w:pPr>
            <w:r>
              <w:rPr>
                <w:rFonts w:ascii="Arial" w:hAnsi="Arial" w:cs="Arial" w:eastAsia="Arial"/>
                <w:b w:val="0"/>
                <w:i w:val="0"/>
                <w:sz w:val="18"/>
              </w:rPr>
              <w:t>Critical</w:t>
            </w:r>
          </w:p>
        </w:tc>
        <w:tc>
          <w:tcPr>
            <w:tcW w:type="dxa" w:w="6048"/>
          </w:tcPr>
          <w:p>
            <w:pPr>
              <w:keepNext w:val="0"/>
              <w:spacing w:before="40" w:after="40" w:line="240" w:lineRule="auto"/>
            </w:pPr>
            <w:r>
              <w:rPr>
                <w:rFonts w:ascii="Arial" w:hAnsi="Arial" w:cs="Arial" w:eastAsia="Arial"/>
                <w:b w:val="0"/>
                <w:i w:val="0"/>
                <w:sz w:val="18"/>
              </w:rPr>
              <w:t>Treated at once. Reported to top management, and cannot be accepted without their written approval.</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If your organisation prefers different bands, change them here and in your risk register so they match.</w:t>
      </w:r>
    </w:p>
    <w:p>
      <w:pPr>
        <w:keepNext/>
        <w:spacing w:before="280" w:after="120" w:line="264" w:lineRule="auto"/>
      </w:pPr>
      <w:r>
        <w:rPr>
          <w:rFonts w:ascii="Arial" w:hAnsi="Arial" w:cs="Arial" w:eastAsia="Arial"/>
          <w:b/>
          <w:i w:val="0"/>
          <w:color w:val="1B253B"/>
          <w:sz w:val="28"/>
        </w:rPr>
        <w:t>6. Identifying risks</w:t>
      </w:r>
    </w:p>
    <w:p>
      <w:pPr>
        <w:keepNext w:val="0"/>
        <w:spacing w:before="0" w:after="120" w:line="276" w:lineRule="auto"/>
      </w:pPr>
      <w:r>
        <w:rPr>
          <w:rFonts w:ascii="Arial" w:hAnsi="Arial" w:cs="Arial" w:eastAsia="Arial"/>
          <w:b w:val="0"/>
          <w:i w:val="0"/>
          <w:sz w:val="21"/>
        </w:rPr>
        <w:t>Risks are identified from the following sources, and recorded in the risk register.</w:t>
      </w:r>
    </w:p>
    <w:p>
      <w:pPr>
        <w:pStyle w:val="ListBullet"/>
        <w:keepNext w:val="0"/>
        <w:spacing w:before="0" w:after="60" w:line="276" w:lineRule="auto"/>
        <w:ind w:left="432" w:hanging="288"/>
      </w:pPr>
      <w:r>
        <w:rPr>
          <w:rFonts w:ascii="Arial" w:hAnsi="Arial" w:cs="Arial" w:eastAsia="Arial"/>
          <w:b w:val="0"/>
          <w:i w:val="0"/>
          <w:sz w:val="21"/>
        </w:rPr>
        <w:t>The asset register: for each important asset, what could threaten it and what weakness could let that happen.</w:t>
      </w:r>
    </w:p>
    <w:p>
      <w:pPr>
        <w:pStyle w:val="ListBullet"/>
        <w:keepNext w:val="0"/>
        <w:spacing w:before="0" w:after="60" w:line="276" w:lineRule="auto"/>
        <w:ind w:left="432" w:hanging="288"/>
      </w:pPr>
      <w:r>
        <w:rPr>
          <w:rFonts w:ascii="Arial" w:hAnsi="Arial" w:cs="Arial" w:eastAsia="Arial"/>
          <w:b w:val="0"/>
          <w:i w:val="0"/>
          <w:sz w:val="21"/>
        </w:rPr>
        <w:t>Interested parties, the context of the organisation and legal requirements (ISMS-01, ISMS-12).</w:t>
      </w:r>
    </w:p>
    <w:p>
      <w:pPr>
        <w:pStyle w:val="ListBullet"/>
        <w:keepNext w:val="0"/>
        <w:spacing w:before="0" w:after="60" w:line="276" w:lineRule="auto"/>
        <w:ind w:left="432" w:hanging="288"/>
      </w:pPr>
      <w:r>
        <w:rPr>
          <w:rFonts w:ascii="Arial" w:hAnsi="Arial" w:cs="Arial" w:eastAsia="Arial"/>
          <w:b w:val="0"/>
          <w:i w:val="0"/>
          <w:sz w:val="21"/>
        </w:rPr>
        <w:t>Incidents, near misses, audit findings and penetration test or vulnerability scan results.</w:t>
      </w:r>
    </w:p>
    <w:p>
      <w:pPr>
        <w:pStyle w:val="ListBullet"/>
        <w:keepNext w:val="0"/>
        <w:spacing w:before="0" w:after="60" w:line="276" w:lineRule="auto"/>
        <w:ind w:left="432" w:hanging="288"/>
      </w:pPr>
      <w:r>
        <w:rPr>
          <w:rFonts w:ascii="Arial" w:hAnsi="Arial" w:cs="Arial" w:eastAsia="Arial"/>
          <w:b w:val="0"/>
          <w:i w:val="0"/>
          <w:sz w:val="21"/>
        </w:rPr>
        <w:t>Changes: new systems, suppliers, locations, services and people.</w:t>
      </w:r>
    </w:p>
    <w:p>
      <w:pPr>
        <w:pStyle w:val="ListBullet"/>
        <w:keepNext w:val="0"/>
        <w:spacing w:before="0" w:after="60" w:line="276" w:lineRule="auto"/>
        <w:ind w:left="432" w:hanging="288"/>
      </w:pPr>
      <w:r>
        <w:rPr>
          <w:rFonts w:ascii="Arial" w:hAnsi="Arial" w:cs="Arial" w:eastAsia="Arial"/>
          <w:b w:val="0"/>
          <w:i w:val="0"/>
          <w:sz w:val="21"/>
        </w:rPr>
        <w:t xml:space="preserve">Threat information from </w:t>
      </w:r>
      <w:sdt>
        <w:sdtPr>
          <w:alias w:val="Where threat information comes from"/>
          <w:tag w:val="04.threat_sources"/>
        </w:sdtPr>
        <w:sdtContent>
          <w:r>
            <w:rPr>
              <w:rFonts w:ascii="Arial" w:hAnsi="Arial" w:cs="Arial" w:eastAsia="Arial"/>
              <w:b w:val="0"/>
              <w:i w:val="0"/>
              <w:sz w:val="21"/>
              <w:highlight w:val="yellow"/>
            </w:rPr>
            <w:t>&lt;national cyber agencies, vendors and industry groups&gt;</w:t>
          </w:r>
        </w:sdtContent>
      </w:sdt>
      <w:r>
        <w:rPr>
          <w:rFonts w:ascii="Arial" w:hAnsi="Arial" w:cs="Arial" w:eastAsia="Arial"/>
          <w:b w:val="0"/>
          <w:i w:val="0"/>
          <w:sz w:val="21"/>
        </w:rPr>
        <w:t>.</w:t>
      </w:r>
    </w:p>
    <w:p>
      <w:pPr>
        <w:keepNext w:val="0"/>
        <w:spacing w:before="0" w:after="40" w:line="240" w:lineRule="auto"/>
      </w:pPr>
    </w:p>
    <w:p>
      <w:pPr>
        <w:keepNext w:val="0"/>
        <w:spacing w:before="0" w:after="120" w:line="276" w:lineRule="auto"/>
      </w:pPr>
      <w:r>
        <w:rPr>
          <w:rFonts w:ascii="Arial" w:hAnsi="Arial" w:cs="Arial" w:eastAsia="Arial"/>
          <w:b w:val="0"/>
          <w:i w:val="0"/>
          <w:sz w:val="21"/>
        </w:rPr>
        <w:t xml:space="preserve">Each risk is written as a short statement of </w:t>
      </w:r>
      <w:r>
        <w:rPr>
          <w:rFonts w:ascii="Arial" w:hAnsi="Arial" w:cs="Arial" w:eastAsia="Arial"/>
          <w:b/>
          <w:i w:val="0"/>
          <w:sz w:val="21"/>
        </w:rPr>
        <w:t>cause, event and effect</w:t>
      </w:r>
      <w:r>
        <w:rPr>
          <w:rFonts w:ascii="Arial" w:hAnsi="Arial" w:cs="Arial" w:eastAsia="Arial"/>
          <w:b w:val="0"/>
          <w:i w:val="0"/>
          <w:sz w:val="21"/>
        </w:rPr>
        <w:t>: for example, "Because laptops are not encrypted, a lost laptop could expose customer data, causing a reportable breach." Each risk has a named owner.</w:t>
      </w:r>
    </w:p>
    <w:p>
      <w:pPr>
        <w:keepNext/>
        <w:spacing w:before="280" w:after="120" w:line="264" w:lineRule="auto"/>
      </w:pPr>
      <w:r>
        <w:rPr>
          <w:rFonts w:ascii="Arial" w:hAnsi="Arial" w:cs="Arial" w:eastAsia="Arial"/>
          <w:b/>
          <w:i w:val="0"/>
          <w:color w:val="1B253B"/>
          <w:sz w:val="28"/>
        </w:rPr>
        <w:t>7. Analysing and evaluating risks</w:t>
      </w:r>
    </w:p>
    <w:p>
      <w:pPr>
        <w:keepNext w:val="0"/>
        <w:spacing w:before="0" w:after="60" w:line="276" w:lineRule="auto"/>
        <w:ind w:left="504" w:hanging="403"/>
      </w:pPr>
      <w:r>
        <w:rPr>
          <w:rFonts w:ascii="Arial" w:hAnsi="Arial" w:cs="Arial" w:eastAsia="Arial"/>
          <w:b w:val="0"/>
          <w:i w:val="0"/>
          <w:sz w:val="21"/>
        </w:rPr>
        <w:t xml:space="preserve">1.  Score the </w:t>
      </w:r>
      <w:r>
        <w:rPr>
          <w:rFonts w:ascii="Arial" w:hAnsi="Arial" w:cs="Arial" w:eastAsia="Arial"/>
          <w:b/>
          <w:i w:val="0"/>
          <w:sz w:val="21"/>
        </w:rPr>
        <w:t>inherent risk</w:t>
      </w:r>
      <w:r>
        <w:rPr>
          <w:rFonts w:ascii="Arial" w:hAnsi="Arial" w:cs="Arial" w:eastAsia="Arial"/>
          <w:b w:val="0"/>
          <w:i w:val="0"/>
          <w:sz w:val="21"/>
        </w:rPr>
        <w:t>: likelihood and impact if the existing controls are ignored.</w:t>
      </w:r>
    </w:p>
    <w:p>
      <w:pPr>
        <w:keepNext w:val="0"/>
        <w:spacing w:before="0" w:after="60" w:line="276" w:lineRule="auto"/>
        <w:ind w:left="504" w:hanging="403"/>
      </w:pPr>
      <w:r>
        <w:rPr>
          <w:rFonts w:ascii="Arial" w:hAnsi="Arial" w:cs="Arial" w:eastAsia="Arial"/>
          <w:b w:val="0"/>
          <w:i w:val="0"/>
          <w:sz w:val="21"/>
        </w:rPr>
        <w:t xml:space="preserve">2.  List the controls already in place, and score the </w:t>
      </w:r>
      <w:r>
        <w:rPr>
          <w:rFonts w:ascii="Arial" w:hAnsi="Arial" w:cs="Arial" w:eastAsia="Arial"/>
          <w:b/>
          <w:i w:val="0"/>
          <w:sz w:val="21"/>
        </w:rPr>
        <w:t>current risk</w:t>
      </w:r>
      <w:r>
        <w:rPr>
          <w:rFonts w:ascii="Arial" w:hAnsi="Arial" w:cs="Arial" w:eastAsia="Arial"/>
          <w:b w:val="0"/>
          <w:i w:val="0"/>
          <w:sz w:val="21"/>
        </w:rPr>
        <w:t xml:space="preserve"> with them.</w:t>
      </w:r>
    </w:p>
    <w:p>
      <w:pPr>
        <w:keepNext w:val="0"/>
        <w:spacing w:before="0" w:after="60" w:line="276" w:lineRule="auto"/>
        <w:ind w:left="504" w:hanging="403"/>
      </w:pPr>
      <w:r>
        <w:rPr>
          <w:rFonts w:ascii="Arial" w:hAnsi="Arial" w:cs="Arial" w:eastAsia="Arial"/>
          <w:b w:val="0"/>
          <w:i w:val="0"/>
          <w:sz w:val="21"/>
        </w:rPr>
        <w:t>3.  Compare the score with the risk criteria above, and put the risks in order.</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Treating risks</w:t>
      </w:r>
    </w:p>
    <w:p>
      <w:pPr>
        <w:keepNext w:val="0"/>
        <w:spacing w:before="0" w:after="120" w:line="276" w:lineRule="auto"/>
      </w:pPr>
      <w:r>
        <w:rPr>
          <w:rFonts w:ascii="Arial" w:hAnsi="Arial" w:cs="Arial" w:eastAsia="Arial"/>
          <w:b w:val="0"/>
          <w:i w:val="0"/>
          <w:sz w:val="21"/>
        </w:rPr>
        <w:t>For each risk above the acceptable level, the risk owner chooses one of four options.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440"/>
            <w:shd w:val="clear" w:color="auto" w:fill="DCE6F5"/>
          </w:tcPr>
          <w:p>
            <w:pPr>
              <w:keepNext w:val="0"/>
              <w:spacing w:before="40" w:after="40" w:line="240" w:lineRule="auto"/>
            </w:pPr>
            <w:r>
              <w:rPr>
                <w:rFonts w:ascii="Arial" w:hAnsi="Arial" w:cs="Arial" w:eastAsia="Arial"/>
                <w:b/>
                <w:i w:val="0"/>
                <w:color w:val="1B253B"/>
                <w:sz w:val="18"/>
              </w:rPr>
              <w:t>Option</w:t>
            </w:r>
          </w:p>
        </w:tc>
        <w:tc>
          <w:tcPr>
            <w:tcW w:type="dxa" w:w="4320"/>
            <w:shd w:val="clear" w:color="auto" w:fill="DCE6F5"/>
          </w:tcPr>
          <w:p>
            <w:pPr>
              <w:keepNext w:val="0"/>
              <w:spacing w:before="40" w:after="40" w:line="240" w:lineRule="auto"/>
            </w:pPr>
            <w:r>
              <w:rPr>
                <w:rFonts w:ascii="Arial" w:hAnsi="Arial" w:cs="Arial" w:eastAsia="Arial"/>
                <w:b/>
                <w:i w:val="0"/>
                <w:color w:val="1B253B"/>
                <w:sz w:val="18"/>
              </w:rPr>
              <w:t>Meaning</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Example</w:t>
            </w:r>
          </w:p>
        </w:tc>
      </w:tr>
      <w:tr>
        <w:trPr>
          <w:cantSplit w:val="true"/>
        </w:trPr>
        <w:tc>
          <w:tcPr>
            <w:tcW w:type="dxa" w:w="1440"/>
          </w:tcPr>
          <w:p>
            <w:pPr>
              <w:keepNext w:val="0"/>
              <w:spacing w:before="40" w:after="40" w:line="240" w:lineRule="auto"/>
            </w:pPr>
            <w:r>
              <w:rPr>
                <w:rFonts w:ascii="Arial" w:hAnsi="Arial" w:cs="Arial" w:eastAsia="Arial"/>
                <w:b w:val="0"/>
                <w:i w:val="0"/>
                <w:sz w:val="18"/>
              </w:rPr>
              <w:t>Modify</w:t>
            </w:r>
          </w:p>
        </w:tc>
        <w:tc>
          <w:tcPr>
            <w:tcW w:type="dxa" w:w="4320"/>
          </w:tcPr>
          <w:p>
            <w:pPr>
              <w:keepNext w:val="0"/>
              <w:spacing w:before="40" w:after="40" w:line="240" w:lineRule="auto"/>
            </w:pPr>
            <w:r>
              <w:rPr>
                <w:rFonts w:ascii="Arial" w:hAnsi="Arial" w:cs="Arial" w:eastAsia="Arial"/>
                <w:b w:val="0"/>
                <w:i w:val="0"/>
                <w:sz w:val="18"/>
              </w:rPr>
              <w:t>Add or improve controls to reduce the likelihood or the impact.</w:t>
            </w:r>
          </w:p>
        </w:tc>
        <w:tc>
          <w:tcPr>
            <w:tcW w:type="dxa" w:w="3456"/>
          </w:tcPr>
          <w:p>
            <w:pPr>
              <w:keepNext w:val="0"/>
              <w:spacing w:before="40" w:after="40" w:line="240" w:lineRule="auto"/>
            </w:pPr>
            <w:r>
              <w:rPr>
                <w:rFonts w:ascii="Arial" w:hAnsi="Arial" w:cs="Arial" w:eastAsia="Arial"/>
                <w:b w:val="0"/>
                <w:i w:val="0"/>
                <w:sz w:val="18"/>
              </w:rPr>
              <w:t>Turn on multi-factor authentication.</w:t>
            </w:r>
          </w:p>
        </w:tc>
      </w:tr>
      <w:tr>
        <w:trPr>
          <w:cantSplit w:val="true"/>
        </w:trPr>
        <w:tc>
          <w:tcPr>
            <w:tcW w:type="dxa" w:w="1440"/>
          </w:tcPr>
          <w:p>
            <w:pPr>
              <w:keepNext w:val="0"/>
              <w:spacing w:before="40" w:after="40" w:line="240" w:lineRule="auto"/>
            </w:pPr>
            <w:r>
              <w:rPr>
                <w:rFonts w:ascii="Arial" w:hAnsi="Arial" w:cs="Arial" w:eastAsia="Arial"/>
                <w:b w:val="0"/>
                <w:i w:val="0"/>
                <w:sz w:val="18"/>
              </w:rPr>
              <w:t>Retain</w:t>
            </w:r>
          </w:p>
        </w:tc>
        <w:tc>
          <w:tcPr>
            <w:tcW w:type="dxa" w:w="4320"/>
          </w:tcPr>
          <w:p>
            <w:pPr>
              <w:keepNext w:val="0"/>
              <w:spacing w:before="40" w:after="40" w:line="240" w:lineRule="auto"/>
            </w:pPr>
            <w:r>
              <w:rPr>
                <w:rFonts w:ascii="Arial" w:hAnsi="Arial" w:cs="Arial" w:eastAsia="Arial"/>
                <w:b w:val="0"/>
                <w:i w:val="0"/>
                <w:sz w:val="18"/>
              </w:rPr>
              <w:t>Accept the risk as it is, knowingly, with the owner's approval.</w:t>
            </w:r>
          </w:p>
        </w:tc>
        <w:tc>
          <w:tcPr>
            <w:tcW w:type="dxa" w:w="3456"/>
          </w:tcPr>
          <w:p>
            <w:pPr>
              <w:keepNext w:val="0"/>
              <w:spacing w:before="40" w:after="40" w:line="240" w:lineRule="auto"/>
            </w:pPr>
            <w:r>
              <w:rPr>
                <w:rFonts w:ascii="Arial" w:hAnsi="Arial" w:cs="Arial" w:eastAsia="Arial"/>
                <w:b w:val="0"/>
                <w:i w:val="0"/>
                <w:sz w:val="18"/>
              </w:rPr>
              <w:t>Accept a low risk where treatment costs more than it saves.</w:t>
            </w:r>
          </w:p>
        </w:tc>
      </w:tr>
      <w:tr>
        <w:trPr>
          <w:cantSplit w:val="true"/>
        </w:trPr>
        <w:tc>
          <w:tcPr>
            <w:tcW w:type="dxa" w:w="1440"/>
          </w:tcPr>
          <w:p>
            <w:pPr>
              <w:keepNext w:val="0"/>
              <w:spacing w:before="40" w:after="40" w:line="240" w:lineRule="auto"/>
            </w:pPr>
            <w:r>
              <w:rPr>
                <w:rFonts w:ascii="Arial" w:hAnsi="Arial" w:cs="Arial" w:eastAsia="Arial"/>
                <w:b w:val="0"/>
                <w:i w:val="0"/>
                <w:sz w:val="18"/>
              </w:rPr>
              <w:t>Avoid</w:t>
            </w:r>
          </w:p>
        </w:tc>
        <w:tc>
          <w:tcPr>
            <w:tcW w:type="dxa" w:w="4320"/>
          </w:tcPr>
          <w:p>
            <w:pPr>
              <w:keepNext w:val="0"/>
              <w:spacing w:before="40" w:after="40" w:line="240" w:lineRule="auto"/>
            </w:pPr>
            <w:r>
              <w:rPr>
                <w:rFonts w:ascii="Arial" w:hAnsi="Arial" w:cs="Arial" w:eastAsia="Arial"/>
                <w:b w:val="0"/>
                <w:i w:val="0"/>
                <w:sz w:val="18"/>
              </w:rPr>
              <w:t>Stop doing the thing that creates the risk.</w:t>
            </w:r>
          </w:p>
        </w:tc>
        <w:tc>
          <w:tcPr>
            <w:tcW w:type="dxa" w:w="3456"/>
          </w:tcPr>
          <w:p>
            <w:pPr>
              <w:keepNext w:val="0"/>
              <w:spacing w:before="40" w:after="40" w:line="240" w:lineRule="auto"/>
            </w:pPr>
            <w:r>
              <w:rPr>
                <w:rFonts w:ascii="Arial" w:hAnsi="Arial" w:cs="Arial" w:eastAsia="Arial"/>
                <w:b w:val="0"/>
                <w:i w:val="0"/>
                <w:sz w:val="18"/>
              </w:rPr>
              <w:t>Stop storing a type of data we do not need.</w:t>
            </w:r>
          </w:p>
        </w:tc>
      </w:tr>
      <w:tr>
        <w:trPr>
          <w:cantSplit w:val="true"/>
        </w:trPr>
        <w:tc>
          <w:tcPr>
            <w:tcW w:type="dxa" w:w="1440"/>
          </w:tcPr>
          <w:p>
            <w:pPr>
              <w:keepNext w:val="0"/>
              <w:spacing w:before="40" w:after="40" w:line="240" w:lineRule="auto"/>
            </w:pPr>
            <w:r>
              <w:rPr>
                <w:rFonts w:ascii="Arial" w:hAnsi="Arial" w:cs="Arial" w:eastAsia="Arial"/>
                <w:b w:val="0"/>
                <w:i w:val="0"/>
                <w:sz w:val="18"/>
              </w:rPr>
              <w:t>Share</w:t>
            </w:r>
          </w:p>
        </w:tc>
        <w:tc>
          <w:tcPr>
            <w:tcW w:type="dxa" w:w="4320"/>
          </w:tcPr>
          <w:p>
            <w:pPr>
              <w:keepNext w:val="0"/>
              <w:spacing w:before="40" w:after="40" w:line="240" w:lineRule="auto"/>
            </w:pPr>
            <w:r>
              <w:rPr>
                <w:rFonts w:ascii="Arial" w:hAnsi="Arial" w:cs="Arial" w:eastAsia="Arial"/>
                <w:b w:val="0"/>
                <w:i w:val="0"/>
                <w:sz w:val="18"/>
              </w:rPr>
              <w:t>Move some of the risk to someone else.</w:t>
            </w:r>
          </w:p>
        </w:tc>
        <w:tc>
          <w:tcPr>
            <w:tcW w:type="dxa" w:w="3456"/>
          </w:tcPr>
          <w:p>
            <w:pPr>
              <w:keepNext w:val="0"/>
              <w:spacing w:before="40" w:after="40" w:line="240" w:lineRule="auto"/>
            </w:pPr>
            <w:r>
              <w:rPr>
                <w:rFonts w:ascii="Arial" w:hAnsi="Arial" w:cs="Arial" w:eastAsia="Arial"/>
                <w:b w:val="0"/>
                <w:i w:val="0"/>
                <w:sz w:val="18"/>
              </w:rPr>
              <w:t>Buy cyber insurance, or use a specialist supplier.</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Controls may come from ISO/IEC 27001 Annex A, from other standards or from the organisation's own design. Once the controls are chosen they are compared with Annex A, to check that no necessary control has been left out, and the Statement of Applicability (ISMS-11) records which Annex A controls are included, whether they are implemented, and why any are not included.</w:t>
      </w:r>
    </w:p>
    <w:p>
      <w:pPr>
        <w:keepNext/>
        <w:spacing w:before="280" w:after="120" w:line="264" w:lineRule="auto"/>
      </w:pPr>
      <w:r>
        <w:rPr>
          <w:rFonts w:ascii="Arial" w:hAnsi="Arial" w:cs="Arial" w:eastAsia="Arial"/>
          <w:b/>
          <w:i w:val="0"/>
          <w:color w:val="1B253B"/>
          <w:sz w:val="28"/>
        </w:rPr>
        <w:t>9. The risk treatment plan</w:t>
      </w:r>
    </w:p>
    <w:p>
      <w:pPr>
        <w:keepNext w:val="0"/>
        <w:spacing w:before="0" w:after="120" w:line="276" w:lineRule="auto"/>
      </w:pPr>
      <w:r>
        <w:rPr>
          <w:rFonts w:ascii="Arial" w:hAnsi="Arial" w:cs="Arial" w:eastAsia="Arial"/>
          <w:b w:val="0"/>
          <w:i w:val="0"/>
          <w:sz w:val="21"/>
        </w:rPr>
        <w:t>The treatment of each risk is recorded in the risk treatment plan (ISMS-13), which shows the option chosen, the controls, who is responsible, the resources needed, the target date and the expected residual risk.</w:t>
      </w:r>
    </w:p>
    <w:p>
      <w:pPr>
        <w:keepNext w:val="0"/>
        <w:spacing w:before="0" w:after="120" w:line="276" w:lineRule="auto"/>
      </w:pPr>
      <w:r>
        <w:rPr>
          <w:rFonts w:ascii="Arial" w:hAnsi="Arial" w:cs="Arial" w:eastAsia="Arial"/>
          <w:b w:val="0"/>
          <w:i w:val="0"/>
          <w:sz w:val="21"/>
        </w:rPr>
        <w:t>For example:</w:t>
      </w:r>
    </w:p>
    <w:tbl>
      <w:tblPr>
        <w:tblStyle w:val="TableGrid"/>
        <w:tblW w:type="auto" w:w="0"/>
        <w:jc w:val="center"/>
        <w:tblLayout w:type="fixed"/>
        <w:tblLook w:firstColumn="1" w:firstRow="1" w:lastColumn="0" w:lastRow="0" w:noHBand="0" w:noVBand="1" w:val="04A0"/>
      </w:tblPr>
      <w:tblGrid>
        <w:gridCol w:w="1529"/>
        <w:gridCol w:w="1529"/>
        <w:gridCol w:w="1529"/>
        <w:gridCol w:w="1529"/>
        <w:gridCol w:w="1529"/>
        <w:gridCol w:w="1529"/>
      </w:tblGrid>
      <w:tr>
        <w:trPr>
          <w:tblHeader w:val="true"/>
        </w:trPr>
        <w:tc>
          <w:tcPr>
            <w:tcW w:type="dxa" w:w="1152"/>
            <w:shd w:val="clear" w:color="auto" w:fill="DCE6F5"/>
          </w:tcPr>
          <w:p>
            <w:pPr>
              <w:keepNext w:val="0"/>
              <w:spacing w:before="40" w:after="40" w:line="240" w:lineRule="auto"/>
            </w:pPr>
            <w:r>
              <w:rPr>
                <w:rFonts w:ascii="Arial" w:hAnsi="Arial" w:cs="Arial" w:eastAsia="Arial"/>
                <w:b/>
                <w:i w:val="0"/>
                <w:color w:val="1B253B"/>
                <w:sz w:val="18"/>
              </w:rPr>
              <w:t>Risk ref</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Risk</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Score before</w:t>
            </w:r>
          </w:p>
        </w:tc>
        <w:tc>
          <w:tcPr>
            <w:tcW w:type="dxa" w:w="1224"/>
            <w:shd w:val="clear" w:color="auto" w:fill="DCE6F5"/>
          </w:tcPr>
          <w:p>
            <w:pPr>
              <w:keepNext w:val="0"/>
              <w:spacing w:before="40" w:after="40" w:line="240" w:lineRule="auto"/>
            </w:pPr>
            <w:r>
              <w:rPr>
                <w:rFonts w:ascii="Arial" w:hAnsi="Arial" w:cs="Arial" w:eastAsia="Arial"/>
                <w:b/>
                <w:i w:val="0"/>
                <w:color w:val="1B253B"/>
                <w:sz w:val="18"/>
              </w:rPr>
              <w:t>Option</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Controls</w:t>
            </w:r>
          </w:p>
        </w:tc>
        <w:tc>
          <w:tcPr>
            <w:tcW w:type="dxa" w:w="1181"/>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152"/>
          </w:tcPr>
          <w:p>
            <w:pPr>
              <w:keepNext w:val="0"/>
              <w:spacing w:before="40" w:after="40" w:line="240" w:lineRule="auto"/>
            </w:pPr>
            <w:r>
              <w:rPr>
                <w:rFonts w:ascii="Arial" w:hAnsi="Arial" w:cs="Arial" w:eastAsia="Arial"/>
                <w:b w:val="0"/>
                <w:i w:val="0"/>
                <w:sz w:val="18"/>
              </w:rPr>
              <w:t>R-001</w:t>
            </w:r>
          </w:p>
        </w:tc>
        <w:tc>
          <w:tcPr>
            <w:tcW w:type="dxa" w:w="2736"/>
          </w:tcPr>
          <w:p>
            <w:pPr>
              <w:keepNext w:val="0"/>
              <w:spacing w:before="40" w:after="40" w:line="240" w:lineRule="auto"/>
            </w:pPr>
            <w:r>
              <w:rPr>
                <w:rFonts w:ascii="Arial" w:hAnsi="Arial" w:cs="Arial" w:eastAsia="Arial"/>
                <w:b w:val="0"/>
                <w:i w:val="0"/>
                <w:sz w:val="18"/>
              </w:rPr>
              <w:t>A lost laptop exposes customer data</w:t>
            </w:r>
          </w:p>
        </w:tc>
        <w:tc>
          <w:tcPr>
            <w:tcW w:type="dxa" w:w="1152"/>
          </w:tcPr>
          <w:p>
            <w:pPr>
              <w:keepNext w:val="0"/>
              <w:spacing w:before="40" w:after="40" w:line="240" w:lineRule="auto"/>
            </w:pPr>
            <w:r>
              <w:rPr>
                <w:rFonts w:ascii="Arial" w:hAnsi="Arial" w:cs="Arial" w:eastAsia="Arial"/>
                <w:b w:val="0"/>
                <w:i w:val="0"/>
                <w:sz w:val="18"/>
              </w:rPr>
              <w:t>16</w:t>
            </w:r>
          </w:p>
        </w:tc>
        <w:tc>
          <w:tcPr>
            <w:tcW w:type="dxa" w:w="1224"/>
          </w:tcPr>
          <w:p>
            <w:pPr>
              <w:keepNext w:val="0"/>
              <w:spacing w:before="40" w:after="40" w:line="240" w:lineRule="auto"/>
            </w:pPr>
            <w:r>
              <w:rPr>
                <w:rFonts w:ascii="Arial" w:hAnsi="Arial" w:cs="Arial" w:eastAsia="Arial"/>
                <w:b w:val="0"/>
                <w:i w:val="0"/>
                <w:sz w:val="18"/>
              </w:rPr>
              <w:t>Modify</w:t>
            </w:r>
          </w:p>
        </w:tc>
        <w:tc>
          <w:tcPr>
            <w:tcW w:type="dxa" w:w="1728"/>
          </w:tcPr>
          <w:p>
            <w:pPr>
              <w:keepNext w:val="0"/>
              <w:spacing w:before="40" w:after="40" w:line="240" w:lineRule="auto"/>
            </w:pPr>
            <w:r>
              <w:rPr>
                <w:rFonts w:ascii="Arial" w:hAnsi="Arial" w:cs="Arial" w:eastAsia="Arial"/>
                <w:b w:val="0"/>
                <w:i w:val="0"/>
                <w:sz w:val="18"/>
              </w:rPr>
              <w:t>A.8.1, A.8.24</w:t>
            </w:r>
          </w:p>
        </w:tc>
        <w:tc>
          <w:tcPr>
            <w:tcW w:type="dxa" w:w="1181"/>
          </w:tcPr>
          <w:p>
            <w:pPr>
              <w:keepNext w:val="0"/>
              <w:spacing w:before="40" w:after="40" w:line="240" w:lineRule="auto"/>
            </w:pPr>
            <w:r>
              <w:rPr>
                <w:rFonts w:ascii="Arial" w:hAnsi="Arial" w:cs="Arial" w:eastAsia="Arial"/>
                <w:b w:val="0"/>
                <w:i w:val="0"/>
                <w:sz w:val="18"/>
              </w:rPr>
              <w:t>IT lead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Residual risk</w:t>
      </w:r>
    </w:p>
    <w:p>
      <w:pPr>
        <w:keepNext w:val="0"/>
        <w:spacing w:before="0" w:after="120" w:line="276" w:lineRule="auto"/>
      </w:pPr>
      <w:r>
        <w:rPr>
          <w:rFonts w:ascii="Arial" w:hAnsi="Arial" w:cs="Arial" w:eastAsia="Arial"/>
          <w:b w:val="0"/>
          <w:i w:val="0"/>
          <w:sz w:val="21"/>
        </w:rPr>
        <w:t xml:space="preserve">When a treatment is finished, the risk is scored again. The risk owner then accepts the </w:t>
      </w:r>
      <w:r>
        <w:rPr>
          <w:rFonts w:ascii="Arial" w:hAnsi="Arial" w:cs="Arial" w:eastAsia="Arial"/>
          <w:b/>
          <w:i w:val="0"/>
          <w:sz w:val="21"/>
        </w:rPr>
        <w:t>residual risk</w:t>
      </w:r>
      <w:r>
        <w:rPr>
          <w:rFonts w:ascii="Arial" w:hAnsi="Arial" w:cs="Arial" w:eastAsia="Arial"/>
          <w:b w:val="0"/>
          <w:i w:val="0"/>
          <w:sz w:val="21"/>
        </w:rPr>
        <w:t xml:space="preserve"> in writing, with the date. A residual risk that is still Elevated needs the approval of top management. A residual risk that is Critical cannot be accepted.</w:t>
      </w:r>
    </w:p>
    <w:p>
      <w:pPr>
        <w:keepNext/>
        <w:spacing w:before="280" w:after="120" w:line="264" w:lineRule="auto"/>
      </w:pPr>
      <w:r>
        <w:rPr>
          <w:rFonts w:ascii="Arial" w:hAnsi="Arial" w:cs="Arial" w:eastAsia="Arial"/>
          <w:b/>
          <w:i w:val="0"/>
          <w:color w:val="1B253B"/>
          <w:sz w:val="28"/>
        </w:rPr>
        <w:t>11. Monitoring and review</w:t>
      </w:r>
    </w:p>
    <w:p>
      <w:pPr>
        <w:pStyle w:val="ListBullet"/>
        <w:keepNext w:val="0"/>
        <w:spacing w:before="0" w:after="60" w:line="276" w:lineRule="auto"/>
        <w:ind w:left="432" w:hanging="288"/>
      </w:pPr>
      <w:r>
        <w:rPr>
          <w:rFonts w:ascii="Arial" w:hAnsi="Arial" w:cs="Arial" w:eastAsia="Arial"/>
          <w:b w:val="0"/>
          <w:i w:val="0"/>
          <w:sz w:val="21"/>
        </w:rPr>
        <w:t>The full assessment is repeated at least once a year, and whenever there is a significant change.</w:t>
      </w:r>
    </w:p>
    <w:p>
      <w:pPr>
        <w:pStyle w:val="ListBullet"/>
        <w:keepNext w:val="0"/>
        <w:spacing w:before="0" w:after="60" w:line="276" w:lineRule="auto"/>
        <w:ind w:left="432" w:hanging="288"/>
      </w:pPr>
      <w:r>
        <w:rPr>
          <w:rFonts w:ascii="Arial" w:hAnsi="Arial" w:cs="Arial" w:eastAsia="Arial"/>
          <w:b w:val="0"/>
          <w:i w:val="0"/>
          <w:sz w:val="21"/>
        </w:rPr>
        <w:t xml:space="preserve">Risk owners review their own risks </w:t>
      </w:r>
      <w:sdt>
        <w:sdtPr>
          <w:alias w:val="How often risk owners review their risks"/>
          <w:tag w:val="risk_review"/>
        </w:sdtPr>
        <w:sdtContent>
          <w:r>
            <w:rPr>
              <w:rFonts w:ascii="Arial" w:hAnsi="Arial" w:cs="Arial" w:eastAsia="Arial"/>
              <w:b w:val="0"/>
              <w:i w:val="0"/>
              <w:sz w:val="21"/>
              <w:highlight w:val="yellow"/>
            </w:rPr>
            <w:t>&lt;quarterly&gt;</w:t>
          </w:r>
        </w:sdtContent>
      </w:sdt>
      <w:r>
        <w:rPr>
          <w:rFonts w:ascii="Arial" w:hAnsi="Arial" w:cs="Arial" w:eastAsia="Arial"/>
          <w:b w:val="0"/>
          <w:i w:val="0"/>
          <w:sz w:val="21"/>
        </w:rPr>
        <w:t xml:space="preserve"> and update the register.</w:t>
      </w:r>
    </w:p>
    <w:p>
      <w:pPr>
        <w:pStyle w:val="ListBullet"/>
        <w:keepNext w:val="0"/>
        <w:spacing w:before="0" w:after="60" w:line="276" w:lineRule="auto"/>
        <w:ind w:left="432" w:hanging="288"/>
      </w:pPr>
      <w:r>
        <w:rPr>
          <w:rFonts w:ascii="Arial" w:hAnsi="Arial" w:cs="Arial" w:eastAsia="Arial"/>
          <w:b w:val="0"/>
          <w:i w:val="0"/>
          <w:sz w:val="21"/>
        </w:rPr>
        <w:t>The ISMS Manager reports the top risks, treatment progress and new risks to the management review.</w:t>
      </w:r>
    </w:p>
    <w:p>
      <w:pPr>
        <w:pStyle w:val="ListBullet"/>
        <w:keepNext w:val="0"/>
        <w:spacing w:before="0" w:after="60" w:line="276" w:lineRule="auto"/>
        <w:ind w:left="432" w:hanging="288"/>
      </w:pPr>
      <w:r>
        <w:rPr>
          <w:rFonts w:ascii="Arial" w:hAnsi="Arial" w:cs="Arial" w:eastAsia="Arial"/>
          <w:b w:val="0"/>
          <w:i w:val="0"/>
          <w:sz w:val="21"/>
        </w:rPr>
        <w:t>A new assessment is done before a significant new system, supplier or service goes live.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12. Records</w:t>
      </w:r>
    </w:p>
    <w:p>
      <w:pPr>
        <w:keepNext w:val="0"/>
        <w:spacing w:before="0" w:after="120" w:line="276" w:lineRule="auto"/>
      </w:pPr>
      <w:r>
        <w:rPr>
          <w:rFonts w:ascii="Arial" w:hAnsi="Arial" w:cs="Arial" w:eastAsia="Arial"/>
          <w:b w:val="0"/>
          <w:i w:val="0"/>
          <w:sz w:val="21"/>
        </w:rPr>
        <w:t xml:space="preserve">The risk register, the risk treatment plan, the Statement of Applicability, the assessment reports and the residual risk approvals are kept as documented information for </w:t>
      </w:r>
      <w:sdt>
        <w:sdtPr>
          <w:alias w:val="How long records are kept"/>
          <w:tag w:val="records_period"/>
        </w:sdtPr>
        <w:sdtContent>
          <w:r>
            <w:rPr>
              <w:rFonts w:ascii="Arial" w:hAnsi="Arial" w:cs="Arial" w:eastAsia="Arial"/>
              <w:b w:val="0"/>
              <w:i w:val="0"/>
              <w:sz w:val="21"/>
              <w:highlight w:val="yellow"/>
            </w:rPr>
            <w:t>&lt;period&gt;</w:t>
          </w:r>
        </w:sdtContent>
      </w:sdt>
      <w:r>
        <w:rPr>
          <w:rFonts w:ascii="Arial" w:hAnsi="Arial" w:cs="Arial" w:eastAsia="Arial"/>
          <w:b w:val="0"/>
          <w:i w:val="0"/>
          <w:sz w:val="21"/>
        </w:rPr>
        <w:t xml:space="preserve">, in </w:t>
      </w:r>
      <w:sdt>
        <w:sdtPr>
          <w:alias w:val="Where the ISMS records are kept"/>
          <w:tag w:val="records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Risk Assessment and Risk Treatment Process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and Risk Treatment Process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