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an ISO/IEC 27001:2022 information security management system (ISMS).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ISO/IEC 27001 or any law.</w:t>
      </w:r>
    </w:p>
    <w:p>
      <w:r>
        <w:br w:type="page"/>
      </w:r>
    </w:p>
    <w:p>
      <w:pPr>
        <w:keepNext w:val="0"/>
        <w:spacing w:before="0" w:after="80" w:line="240" w:lineRule="auto"/>
      </w:pPr>
      <w:r>
        <w:rPr>
          <w:rFonts w:ascii="Arial" w:hAnsi="Arial" w:cs="Arial" w:eastAsia="Arial"/>
          <w:b/>
          <w:i w:val="0"/>
          <w:color w:val="1B253B"/>
          <w:sz w:val="44"/>
        </w:rPr>
        <w:t>Information Security Communication Plan</w:t>
      </w:r>
    </w:p>
    <w:p>
      <w:pPr>
        <w:keepNext w:val="0"/>
        <w:spacing w:before="0" w:after="200" w:line="240" w:lineRule="auto"/>
      </w:pPr>
      <w:r>
        <w:rPr>
          <w:rFonts w:ascii="Arial" w:hAnsi="Arial" w:cs="Arial" w:eastAsia="Arial"/>
          <w:b w:val="0"/>
          <w:i w:val="0"/>
          <w:color w:val="5B6678"/>
          <w:sz w:val="21"/>
        </w:rPr>
        <w:t xml:space="preserve">What </w:t>
      </w:r>
      <w:sdt>
        <w:sdtPr>
          <w:alias w:val="Company name"/>
          <w:tag w:val="company"/>
        </w:sdtPr>
        <w:sdtContent>
          <w:r>
            <w:rPr>
              <w:rFonts w:ascii="Arial" w:hAnsi="Arial" w:cs="Arial" w:eastAsia="Arial"/>
              <w:b w:val="0"/>
              <w:i w:val="0"/>
              <w:color w:val="5B6678"/>
              <w:sz w:val="21"/>
              <w:highlight w:val="yellow"/>
            </w:rPr>
            <w:t>&lt;Company name&gt;</w:t>
          </w:r>
        </w:sdtContent>
      </w:sdt>
      <w:r>
        <w:rPr>
          <w:rFonts w:ascii="Arial" w:hAnsi="Arial" w:cs="Arial" w:eastAsia="Arial"/>
          <w:b w:val="0"/>
          <w:i w:val="0"/>
          <w:color w:val="5B6678"/>
          <w:sz w:val="21"/>
        </w:rPr>
        <w:t xml:space="preserve"> communicates about information security, to whom, when, how and who is responsible.</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ISMS-06</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ISO/IEC 27001:2022, clause 7.4, requires an organisation to decide what it will communicate about information security, when, with whom, who will do it and how. This plan does that for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so that the right people get the right information at the right time, and nothing is said by the wrong person.</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It covers communication inside the organisation, with customers, suppliers, regulators and the public, that relates to the ISMS and to information security incidents.</w:t>
      </w:r>
    </w:p>
    <w:p>
      <w:pPr>
        <w:keepNext/>
        <w:spacing w:before="280" w:after="120" w:line="264" w:lineRule="auto"/>
      </w:pPr>
      <w:r>
        <w:rPr>
          <w:rFonts w:ascii="Arial" w:hAnsi="Arial" w:cs="Arial" w:eastAsia="Arial"/>
          <w:b/>
          <w:i w:val="0"/>
          <w:color w:val="1B253B"/>
          <w:sz w:val="28"/>
        </w:rPr>
        <w:t>3. Principles</w:t>
      </w:r>
    </w:p>
    <w:p>
      <w:pPr>
        <w:pStyle w:val="ListBullet"/>
        <w:keepNext w:val="0"/>
        <w:spacing w:before="0" w:after="60" w:line="276" w:lineRule="auto"/>
        <w:ind w:left="432" w:hanging="288"/>
      </w:pPr>
      <w:r>
        <w:rPr>
          <w:rFonts w:ascii="Arial" w:hAnsi="Arial" w:cs="Arial" w:eastAsia="Arial"/>
          <w:b w:val="0"/>
          <w:i w:val="0"/>
          <w:sz w:val="21"/>
        </w:rPr>
        <w:t>Communication is accurate, timely and clear, and written for the people who will read it.</w:t>
      </w:r>
    </w:p>
    <w:p>
      <w:pPr>
        <w:pStyle w:val="ListBullet"/>
        <w:keepNext w:val="0"/>
        <w:spacing w:before="0" w:after="60" w:line="276" w:lineRule="auto"/>
        <w:ind w:left="432" w:hanging="288"/>
      </w:pPr>
      <w:r>
        <w:rPr>
          <w:rFonts w:ascii="Arial" w:hAnsi="Arial" w:cs="Arial" w:eastAsia="Arial"/>
          <w:b w:val="0"/>
          <w:i w:val="0"/>
          <w:sz w:val="21"/>
        </w:rPr>
        <w:t>People receive what they need to do their job securely, and no more. Confidential information is not shared more widely than necessary.</w:t>
      </w:r>
    </w:p>
    <w:p>
      <w:pPr>
        <w:pStyle w:val="ListBullet"/>
        <w:keepNext w:val="0"/>
        <w:spacing w:before="0" w:after="60" w:line="276" w:lineRule="auto"/>
        <w:ind w:left="432" w:hanging="288"/>
      </w:pPr>
      <w:r>
        <w:rPr>
          <w:rFonts w:ascii="Arial" w:hAnsi="Arial" w:cs="Arial" w:eastAsia="Arial"/>
          <w:b w:val="0"/>
          <w:i w:val="0"/>
          <w:sz w:val="21"/>
        </w:rPr>
        <w:t>Only authorised people speak for the organisation to the outside world.</w:t>
      </w:r>
    </w:p>
    <w:p>
      <w:pPr>
        <w:pStyle w:val="ListBullet"/>
        <w:keepNext w:val="0"/>
        <w:spacing w:before="0" w:after="60" w:line="276" w:lineRule="auto"/>
        <w:ind w:left="432" w:hanging="288"/>
      </w:pPr>
      <w:r>
        <w:rPr>
          <w:rFonts w:ascii="Arial" w:hAnsi="Arial" w:cs="Arial" w:eastAsia="Arial"/>
          <w:b w:val="0"/>
          <w:i w:val="0"/>
          <w:sz w:val="21"/>
        </w:rPr>
        <w:t>Where a message needs an answer or an action, it says what, by whom and by when.</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Internal communication</w:t>
      </w:r>
    </w:p>
    <w:tbl>
      <w:tblPr>
        <w:tblStyle w:val="TableGrid"/>
        <w:tblW w:type="auto" w:w="0"/>
        <w:jc w:val="center"/>
        <w:tblLayout w:type="fixed"/>
        <w:tblLook w:firstColumn="1" w:firstRow="1" w:lastColumn="0" w:lastRow="0" w:noHBand="0" w:noVBand="1" w:val="04A0"/>
        <w:tblCaption w:val="source:communications"/>
      </w:tblPr>
      <w:tblGrid>
        <w:gridCol w:w="1529"/>
        <w:gridCol w:w="1529"/>
        <w:gridCol w:w="1529"/>
        <w:gridCol w:w="1529"/>
        <w:gridCol w:w="1529"/>
        <w:gridCol w:w="1529"/>
      </w:tblGrid>
      <w:tr>
        <w:trPr>
          <w:tblHeader w:val="true"/>
        </w:trPr>
        <w:tc>
          <w:tcPr>
            <w:tcW w:type="dxa" w:w="1728"/>
            <w:shd w:val="clear" w:color="auto" w:fill="DCE6F5"/>
          </w:tcPr>
          <w:p>
            <w:pPr>
              <w:keepNext w:val="0"/>
              <w:spacing w:before="40" w:after="40" w:line="240" w:lineRule="auto"/>
            </w:pPr>
            <w:r>
              <w:rPr>
                <w:rFonts w:ascii="Arial" w:hAnsi="Arial" w:cs="Arial" w:eastAsia="Arial"/>
                <w:b/>
                <w:i w:val="0"/>
                <w:color w:val="1B253B"/>
                <w:sz w:val="18"/>
              </w:rPr>
              <w:t>What</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Why</w:t>
            </w:r>
          </w:p>
        </w:tc>
        <w:tc>
          <w:tcPr>
            <w:tcW w:type="dxa" w:w="1368"/>
            <w:shd w:val="clear" w:color="auto" w:fill="DCE6F5"/>
          </w:tcPr>
          <w:p>
            <w:pPr>
              <w:keepNext w:val="0"/>
              <w:spacing w:before="40" w:after="40" w:line="240" w:lineRule="auto"/>
            </w:pPr>
            <w:r>
              <w:rPr>
                <w:rFonts w:ascii="Arial" w:hAnsi="Arial" w:cs="Arial" w:eastAsia="Arial"/>
                <w:b/>
                <w:i w:val="0"/>
                <w:color w:val="1B253B"/>
                <w:sz w:val="18"/>
              </w:rPr>
              <w:t>Who receives it</w:t>
            </w:r>
          </w:p>
        </w:tc>
        <w:tc>
          <w:tcPr>
            <w:tcW w:type="dxa" w:w="1512"/>
            <w:shd w:val="clear" w:color="auto" w:fill="DCE6F5"/>
          </w:tcPr>
          <w:p>
            <w:pPr>
              <w:keepNext w:val="0"/>
              <w:spacing w:before="40" w:after="40" w:line="240" w:lineRule="auto"/>
            </w:pPr>
            <w:r>
              <w:rPr>
                <w:rFonts w:ascii="Arial" w:hAnsi="Arial" w:cs="Arial" w:eastAsia="Arial"/>
                <w:b/>
                <w:i w:val="0"/>
                <w:color w:val="1B253B"/>
                <w:sz w:val="18"/>
              </w:rPr>
              <w:t>When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How</w:t>
            </w:r>
          </w:p>
        </w:tc>
        <w:tc>
          <w:tcPr>
            <w:tcW w:type="dxa" w:w="1685"/>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1728"/>
          </w:tcPr>
          <w:p>
            <w:pPr>
              <w:keepNext w:val="0"/>
              <w:spacing w:before="40" w:after="40" w:line="240" w:lineRule="auto"/>
            </w:pPr>
            <w:r>
              <w:rPr>
                <w:rFonts w:ascii="Arial" w:hAnsi="Arial" w:cs="Arial" w:eastAsia="Arial"/>
                <w:b w:val="0"/>
                <w:i w:val="0"/>
                <w:sz w:val="18"/>
              </w:rPr>
              <w:t>Information security policy and objectives</w:t>
            </w:r>
          </w:p>
        </w:tc>
        <w:tc>
          <w:tcPr>
            <w:tcW w:type="dxa" w:w="1440"/>
          </w:tcPr>
          <w:p>
            <w:pPr>
              <w:keepNext w:val="0"/>
              <w:spacing w:before="40" w:after="40" w:line="240" w:lineRule="auto"/>
            </w:pPr>
            <w:r>
              <w:rPr>
                <w:rFonts w:ascii="Arial" w:hAnsi="Arial" w:cs="Arial" w:eastAsia="Arial"/>
                <w:b w:val="0"/>
                <w:i w:val="0"/>
                <w:sz w:val="18"/>
              </w:rPr>
              <w:t>So everybody knows the rules and the aims</w:t>
            </w:r>
          </w:p>
        </w:tc>
        <w:tc>
          <w:tcPr>
            <w:tcW w:type="dxa" w:w="1368"/>
          </w:tcPr>
          <w:p>
            <w:pPr>
              <w:keepNext w:val="0"/>
              <w:spacing w:before="40" w:after="40" w:line="240" w:lineRule="auto"/>
            </w:pPr>
            <w:r>
              <w:rPr>
                <w:rFonts w:ascii="Arial" w:hAnsi="Arial" w:cs="Arial" w:eastAsia="Arial"/>
                <w:b w:val="0"/>
                <w:i w:val="0"/>
                <w:sz w:val="18"/>
              </w:rPr>
              <w:t>All personnel</w:t>
            </w:r>
          </w:p>
        </w:tc>
        <w:tc>
          <w:tcPr>
            <w:tcW w:type="dxa" w:w="1512"/>
          </w:tcPr>
          <w:p>
            <w:pPr>
              <w:keepNext w:val="0"/>
              <w:spacing w:before="40" w:after="40" w:line="240" w:lineRule="auto"/>
            </w:pPr>
            <w:r>
              <w:rPr>
                <w:rFonts w:ascii="Arial" w:hAnsi="Arial" w:cs="Arial" w:eastAsia="Arial"/>
                <w:b w:val="0"/>
                <w:i w:val="0"/>
                <w:sz w:val="18"/>
              </w:rPr>
              <w:t>At induction, and after every change</w:t>
            </w:r>
          </w:p>
        </w:tc>
        <w:tc>
          <w:tcPr>
            <w:tcW w:type="dxa" w:w="1440"/>
          </w:tcPr>
          <w:p>
            <w:pPr>
              <w:keepNext w:val="0"/>
              <w:spacing w:before="40" w:after="40" w:line="240" w:lineRule="auto"/>
            </w:pPr>
            <w:sdt>
              <w:sdtPr>
                <w:alias w:val="Intranet, email, induction"/>
                <w:tag w:val="~"/>
              </w:sdtPr>
              <w:sdtContent>
                <w:r>
                  <w:rPr>
                    <w:rFonts w:ascii="Arial" w:hAnsi="Arial" w:cs="Arial" w:eastAsia="Arial"/>
                    <w:b w:val="0"/>
                    <w:i w:val="0"/>
                    <w:sz w:val="18"/>
                    <w:highlight w:val="yellow"/>
                  </w:rPr>
                  <w:t>&lt;Intranet, email, induction&gt;</w:t>
                </w:r>
              </w:sdtContent>
            </w:sdt>
          </w:p>
        </w:tc>
        <w:tc>
          <w:tcPr>
            <w:tcW w:type="dxa" w:w="1685"/>
          </w:tcPr>
          <w:p>
            <w:pPr>
              <w:keepNext w:val="0"/>
              <w:spacing w:before="40" w:after="40" w:line="240" w:lineRule="auto"/>
            </w:pPr>
            <w:sdt>
              <w:sdtPr>
                <w:alias w:val="ISMS Manager"/>
                <w:tag w:val="~"/>
              </w:sdtPr>
              <w:sdtContent>
                <w:r>
                  <w:rPr>
                    <w:rFonts w:ascii="Arial" w:hAnsi="Arial" w:cs="Arial" w:eastAsia="Arial"/>
                    <w:b w:val="0"/>
                    <w:i w:val="0"/>
                    <w:sz w:val="18"/>
                    <w:highlight w:val="yellow"/>
                  </w:rPr>
                  <w:t>&lt;ISMS Manager&gt;</w:t>
                </w:r>
              </w:sdtContent>
            </w:sdt>
          </w:p>
        </w:tc>
      </w:tr>
      <w:tr>
        <w:trPr>
          <w:cantSplit w:val="true"/>
        </w:trPr>
        <w:tc>
          <w:tcPr>
            <w:tcW w:type="dxa" w:w="1728"/>
          </w:tcPr>
          <w:p>
            <w:pPr>
              <w:keepNext w:val="0"/>
              <w:spacing w:before="40" w:after="40" w:line="240" w:lineRule="auto"/>
            </w:pPr>
            <w:r>
              <w:rPr>
                <w:rFonts w:ascii="Arial" w:hAnsi="Arial" w:cs="Arial" w:eastAsia="Arial"/>
                <w:b w:val="0"/>
                <w:i w:val="0"/>
                <w:sz w:val="18"/>
              </w:rPr>
              <w:t>Security awareness training and reminders</w:t>
            </w:r>
          </w:p>
        </w:tc>
        <w:tc>
          <w:tcPr>
            <w:tcW w:type="dxa" w:w="1440"/>
          </w:tcPr>
          <w:p>
            <w:pPr>
              <w:keepNext w:val="0"/>
              <w:spacing w:before="40" w:after="40" w:line="240" w:lineRule="auto"/>
            </w:pPr>
            <w:r>
              <w:rPr>
                <w:rFonts w:ascii="Arial" w:hAnsi="Arial" w:cs="Arial" w:eastAsia="Arial"/>
                <w:b w:val="0"/>
                <w:i w:val="0"/>
                <w:sz w:val="18"/>
              </w:rPr>
              <w:t>To keep behaviour safe</w:t>
            </w:r>
          </w:p>
        </w:tc>
        <w:tc>
          <w:tcPr>
            <w:tcW w:type="dxa" w:w="1368"/>
          </w:tcPr>
          <w:p>
            <w:pPr>
              <w:keepNext w:val="0"/>
              <w:spacing w:before="40" w:after="40" w:line="240" w:lineRule="auto"/>
            </w:pPr>
            <w:r>
              <w:rPr>
                <w:rFonts w:ascii="Arial" w:hAnsi="Arial" w:cs="Arial" w:eastAsia="Arial"/>
                <w:b w:val="0"/>
                <w:i w:val="0"/>
                <w:sz w:val="18"/>
              </w:rPr>
              <w:t>All personnel</w:t>
            </w:r>
          </w:p>
        </w:tc>
        <w:tc>
          <w:tcPr>
            <w:tcW w:type="dxa" w:w="1512"/>
          </w:tcPr>
          <w:p>
            <w:pPr>
              <w:keepNext w:val="0"/>
              <w:spacing w:before="40" w:after="40" w:line="240" w:lineRule="auto"/>
            </w:pPr>
            <w:r>
              <w:rPr>
                <w:rFonts w:ascii="Arial" w:hAnsi="Arial" w:cs="Arial" w:eastAsia="Arial"/>
                <w:b w:val="0"/>
                <w:i w:val="0"/>
                <w:sz w:val="18"/>
              </w:rPr>
              <w:t xml:space="preserve">At joining, then every </w:t>
            </w:r>
            <w:sdt>
              <w:sdtPr>
                <w:alias w:val="12"/>
                <w:tag w:val="~"/>
              </w:sdtPr>
              <w:sdtContent>
                <w:r>
                  <w:rPr>
                    <w:rFonts w:ascii="Arial" w:hAnsi="Arial" w:cs="Arial" w:eastAsia="Arial"/>
                    <w:b w:val="0"/>
                    <w:i w:val="0"/>
                    <w:sz w:val="18"/>
                    <w:highlight w:val="yellow"/>
                  </w:rPr>
                  <w:t>&lt;12&gt;</w:t>
                </w:r>
              </w:sdtContent>
            </w:sdt>
            <w:r>
              <w:rPr>
                <w:rFonts w:ascii="Arial" w:hAnsi="Arial" w:cs="Arial" w:eastAsia="Arial"/>
                <w:b w:val="0"/>
                <w:i w:val="0"/>
                <w:sz w:val="18"/>
              </w:rPr>
              <w:t xml:space="preserve"> months, and short reminders </w:t>
            </w:r>
            <w:sdt>
              <w:sdtPr>
                <w:alias w:val="monthly"/>
                <w:tag w:val="~"/>
              </w:sdtPr>
              <w:sdtContent>
                <w:r>
                  <w:rPr>
                    <w:rFonts w:ascii="Arial" w:hAnsi="Arial" w:cs="Arial" w:eastAsia="Arial"/>
                    <w:b w:val="0"/>
                    <w:i w:val="0"/>
                    <w:sz w:val="18"/>
                    <w:highlight w:val="yellow"/>
                  </w:rPr>
                  <w:t>&lt;monthly&gt;</w:t>
                </w:r>
              </w:sdtContent>
            </w:sdt>
          </w:p>
        </w:tc>
        <w:tc>
          <w:tcPr>
            <w:tcW w:type="dxa" w:w="1440"/>
          </w:tcPr>
          <w:p>
            <w:pPr>
              <w:keepNext w:val="0"/>
              <w:spacing w:before="40" w:after="40" w:line="240" w:lineRule="auto"/>
            </w:pPr>
            <w:sdt>
              <w:sdtPr>
                <w:alias w:val="Training platform, email"/>
                <w:tag w:val="~"/>
              </w:sdtPr>
              <w:sdtContent>
                <w:r>
                  <w:rPr>
                    <w:rFonts w:ascii="Arial" w:hAnsi="Arial" w:cs="Arial" w:eastAsia="Arial"/>
                    <w:b w:val="0"/>
                    <w:i w:val="0"/>
                    <w:sz w:val="18"/>
                    <w:highlight w:val="yellow"/>
                  </w:rPr>
                  <w:t>&lt;Training platform, email&gt;</w:t>
                </w:r>
              </w:sdtContent>
            </w:sdt>
          </w:p>
        </w:tc>
        <w:tc>
          <w:tcPr>
            <w:tcW w:type="dxa" w:w="1685"/>
          </w:tcPr>
          <w:p>
            <w:pPr>
              <w:keepNext w:val="0"/>
              <w:spacing w:before="40" w:after="40" w:line="240" w:lineRule="auto"/>
            </w:pPr>
            <w:sdt>
              <w:sdtPr>
                <w:alias w:val="ISMS Manager, HR"/>
                <w:tag w:val="~"/>
              </w:sdtPr>
              <w:sdtContent>
                <w:r>
                  <w:rPr>
                    <w:rFonts w:ascii="Arial" w:hAnsi="Arial" w:cs="Arial" w:eastAsia="Arial"/>
                    <w:b w:val="0"/>
                    <w:i w:val="0"/>
                    <w:sz w:val="18"/>
                    <w:highlight w:val="yellow"/>
                  </w:rPr>
                  <w:t>&lt;ISMS Manager, HR&gt;</w:t>
                </w:r>
              </w:sdtContent>
            </w:sdt>
          </w:p>
        </w:tc>
      </w:tr>
      <w:tr>
        <w:trPr>
          <w:cantSplit w:val="true"/>
        </w:trPr>
        <w:tc>
          <w:tcPr>
            <w:tcW w:type="dxa" w:w="1728"/>
          </w:tcPr>
          <w:p>
            <w:pPr>
              <w:keepNext w:val="0"/>
              <w:spacing w:before="40" w:after="40" w:line="240" w:lineRule="auto"/>
            </w:pPr>
            <w:r>
              <w:rPr>
                <w:rFonts w:ascii="Arial" w:hAnsi="Arial" w:cs="Arial" w:eastAsia="Arial"/>
                <w:b w:val="0"/>
                <w:i w:val="0"/>
                <w:sz w:val="18"/>
              </w:rPr>
              <w:t>Roles and responsibilities</w:t>
            </w:r>
          </w:p>
        </w:tc>
        <w:tc>
          <w:tcPr>
            <w:tcW w:type="dxa" w:w="1440"/>
          </w:tcPr>
          <w:p>
            <w:pPr>
              <w:keepNext w:val="0"/>
              <w:spacing w:before="40" w:after="40" w:line="240" w:lineRule="auto"/>
            </w:pPr>
            <w:r>
              <w:rPr>
                <w:rFonts w:ascii="Arial" w:hAnsi="Arial" w:cs="Arial" w:eastAsia="Arial"/>
                <w:b w:val="0"/>
                <w:i w:val="0"/>
                <w:sz w:val="18"/>
              </w:rPr>
              <w:t>So people know what is expected of them</w:t>
            </w:r>
          </w:p>
        </w:tc>
        <w:tc>
          <w:tcPr>
            <w:tcW w:type="dxa" w:w="1368"/>
          </w:tcPr>
          <w:p>
            <w:pPr>
              <w:keepNext w:val="0"/>
              <w:spacing w:before="40" w:after="40" w:line="240" w:lineRule="auto"/>
            </w:pPr>
            <w:r>
              <w:rPr>
                <w:rFonts w:ascii="Arial" w:hAnsi="Arial" w:cs="Arial" w:eastAsia="Arial"/>
                <w:b w:val="0"/>
                <w:i w:val="0"/>
                <w:sz w:val="18"/>
              </w:rPr>
              <w:t>All personnel</w:t>
            </w:r>
          </w:p>
        </w:tc>
        <w:tc>
          <w:tcPr>
            <w:tcW w:type="dxa" w:w="1512"/>
          </w:tcPr>
          <w:p>
            <w:pPr>
              <w:keepNext w:val="0"/>
              <w:spacing w:before="40" w:after="40" w:line="240" w:lineRule="auto"/>
            </w:pPr>
            <w:r>
              <w:rPr>
                <w:rFonts w:ascii="Arial" w:hAnsi="Arial" w:cs="Arial" w:eastAsia="Arial"/>
                <w:b w:val="0"/>
                <w:i w:val="0"/>
                <w:sz w:val="18"/>
              </w:rPr>
              <w:t>At joining and on any change</w:t>
            </w:r>
          </w:p>
        </w:tc>
        <w:tc>
          <w:tcPr>
            <w:tcW w:type="dxa" w:w="1440"/>
          </w:tcPr>
          <w:p>
            <w:pPr>
              <w:keepNext w:val="0"/>
              <w:spacing w:before="40" w:after="40" w:line="240" w:lineRule="auto"/>
            </w:pPr>
            <w:sdt>
              <w:sdtPr>
                <w:alias w:val="Handbook, intranet"/>
                <w:tag w:val="~"/>
              </w:sdtPr>
              <w:sdtContent>
                <w:r>
                  <w:rPr>
                    <w:rFonts w:ascii="Arial" w:hAnsi="Arial" w:cs="Arial" w:eastAsia="Arial"/>
                    <w:b w:val="0"/>
                    <w:i w:val="0"/>
                    <w:sz w:val="18"/>
                    <w:highlight w:val="yellow"/>
                  </w:rPr>
                  <w:t>&lt;Handbook, intranet&gt;</w:t>
                </w:r>
              </w:sdtContent>
            </w:sdt>
          </w:p>
        </w:tc>
        <w:tc>
          <w:tcPr>
            <w:tcW w:type="dxa" w:w="1685"/>
          </w:tcPr>
          <w:p>
            <w:pPr>
              <w:keepNext w:val="0"/>
              <w:spacing w:before="40" w:after="40" w:line="240" w:lineRule="auto"/>
            </w:pPr>
            <w:sdt>
              <w:sdtPr>
                <w:alias w:val="HR"/>
                <w:tag w:val="~"/>
              </w:sdtPr>
              <w:sdtContent>
                <w:r>
                  <w:rPr>
                    <w:rFonts w:ascii="Arial" w:hAnsi="Arial" w:cs="Arial" w:eastAsia="Arial"/>
                    <w:b w:val="0"/>
                    <w:i w:val="0"/>
                    <w:sz w:val="18"/>
                    <w:highlight w:val="yellow"/>
                  </w:rPr>
                  <w:t>&lt;HR&gt;</w:t>
                </w:r>
              </w:sdtContent>
            </w:sdt>
          </w:p>
        </w:tc>
      </w:tr>
      <w:tr>
        <w:trPr>
          <w:cantSplit w:val="true"/>
        </w:trPr>
        <w:tc>
          <w:tcPr>
            <w:tcW w:type="dxa" w:w="1728"/>
          </w:tcPr>
          <w:p>
            <w:pPr>
              <w:keepNext w:val="0"/>
              <w:spacing w:before="40" w:after="40" w:line="240" w:lineRule="auto"/>
            </w:pPr>
            <w:r>
              <w:rPr>
                <w:rFonts w:ascii="Arial" w:hAnsi="Arial" w:cs="Arial" w:eastAsia="Arial"/>
                <w:b w:val="0"/>
                <w:i w:val="0"/>
                <w:sz w:val="18"/>
              </w:rPr>
              <w:t>New or changed procedures</w:t>
            </w:r>
          </w:p>
        </w:tc>
        <w:tc>
          <w:tcPr>
            <w:tcW w:type="dxa" w:w="1440"/>
          </w:tcPr>
          <w:p>
            <w:pPr>
              <w:keepNext w:val="0"/>
              <w:spacing w:before="40" w:after="40" w:line="240" w:lineRule="auto"/>
            </w:pPr>
            <w:r>
              <w:rPr>
                <w:rFonts w:ascii="Arial" w:hAnsi="Arial" w:cs="Arial" w:eastAsia="Arial"/>
                <w:b w:val="0"/>
                <w:i w:val="0"/>
                <w:sz w:val="18"/>
              </w:rPr>
              <w:t>So people follow the current rules</w:t>
            </w:r>
          </w:p>
        </w:tc>
        <w:tc>
          <w:tcPr>
            <w:tcW w:type="dxa" w:w="1368"/>
          </w:tcPr>
          <w:p>
            <w:pPr>
              <w:keepNext w:val="0"/>
              <w:spacing w:before="40" w:after="40" w:line="240" w:lineRule="auto"/>
            </w:pPr>
            <w:r>
              <w:rPr>
                <w:rFonts w:ascii="Arial" w:hAnsi="Arial" w:cs="Arial" w:eastAsia="Arial"/>
                <w:b w:val="0"/>
                <w:i w:val="0"/>
                <w:sz w:val="18"/>
              </w:rPr>
              <w:t>People affected</w:t>
            </w:r>
          </w:p>
        </w:tc>
        <w:tc>
          <w:tcPr>
            <w:tcW w:type="dxa" w:w="1512"/>
          </w:tcPr>
          <w:p>
            <w:pPr>
              <w:keepNext w:val="0"/>
              <w:spacing w:before="40" w:after="40" w:line="240" w:lineRule="auto"/>
            </w:pPr>
            <w:r>
              <w:rPr>
                <w:rFonts w:ascii="Arial" w:hAnsi="Arial" w:cs="Arial" w:eastAsia="Arial"/>
                <w:b w:val="0"/>
                <w:i w:val="0"/>
                <w:sz w:val="18"/>
              </w:rPr>
              <w:t>Before the change takes effect</w:t>
            </w:r>
          </w:p>
        </w:tc>
        <w:tc>
          <w:tcPr>
            <w:tcW w:type="dxa" w:w="1440"/>
          </w:tcPr>
          <w:p>
            <w:pPr>
              <w:keepNext w:val="0"/>
              <w:spacing w:before="40" w:after="40" w:line="240" w:lineRule="auto"/>
            </w:pPr>
            <w:sdt>
              <w:sdtPr>
                <w:alias w:val="Email, team meeting"/>
                <w:tag w:val="~"/>
              </w:sdtPr>
              <w:sdtContent>
                <w:r>
                  <w:rPr>
                    <w:rFonts w:ascii="Arial" w:hAnsi="Arial" w:cs="Arial" w:eastAsia="Arial"/>
                    <w:b w:val="0"/>
                    <w:i w:val="0"/>
                    <w:sz w:val="18"/>
                    <w:highlight w:val="yellow"/>
                  </w:rPr>
                  <w:t>&lt;Email, team meeting&gt;</w:t>
                </w:r>
              </w:sdtContent>
            </w:sdt>
          </w:p>
        </w:tc>
        <w:tc>
          <w:tcPr>
            <w:tcW w:type="dxa" w:w="1685"/>
          </w:tcPr>
          <w:p>
            <w:pPr>
              <w:keepNext w:val="0"/>
              <w:spacing w:before="40" w:after="40" w:line="240" w:lineRule="auto"/>
            </w:pPr>
            <w:sdt>
              <w:sdtPr>
                <w:alias w:val="Document owner"/>
                <w:tag w:val="~"/>
              </w:sdtPr>
              <w:sdtContent>
                <w:r>
                  <w:rPr>
                    <w:rFonts w:ascii="Arial" w:hAnsi="Arial" w:cs="Arial" w:eastAsia="Arial"/>
                    <w:b w:val="0"/>
                    <w:i w:val="0"/>
                    <w:sz w:val="18"/>
                    <w:highlight w:val="yellow"/>
                  </w:rPr>
                  <w:t>&lt;Document owner&gt;</w:t>
                </w:r>
              </w:sdtContent>
            </w:sdt>
          </w:p>
        </w:tc>
      </w:tr>
      <w:tr>
        <w:trPr>
          <w:cantSplit w:val="true"/>
        </w:trPr>
        <w:tc>
          <w:tcPr>
            <w:tcW w:type="dxa" w:w="1728"/>
          </w:tcPr>
          <w:p>
            <w:pPr>
              <w:keepNext w:val="0"/>
              <w:spacing w:before="40" w:after="40" w:line="240" w:lineRule="auto"/>
            </w:pPr>
            <w:r>
              <w:rPr>
                <w:rFonts w:ascii="Arial" w:hAnsi="Arial" w:cs="Arial" w:eastAsia="Arial"/>
                <w:b w:val="0"/>
                <w:i w:val="0"/>
                <w:sz w:val="18"/>
              </w:rPr>
              <w:t>Security incidents affecting staff</w:t>
            </w:r>
          </w:p>
        </w:tc>
        <w:tc>
          <w:tcPr>
            <w:tcW w:type="dxa" w:w="1440"/>
          </w:tcPr>
          <w:p>
            <w:pPr>
              <w:keepNext w:val="0"/>
              <w:spacing w:before="40" w:after="40" w:line="240" w:lineRule="auto"/>
            </w:pPr>
            <w:r>
              <w:rPr>
                <w:rFonts w:ascii="Arial" w:hAnsi="Arial" w:cs="Arial" w:eastAsia="Arial"/>
                <w:b w:val="0"/>
                <w:i w:val="0"/>
                <w:sz w:val="18"/>
              </w:rPr>
              <w:t>So people can protect themselves and help</w:t>
            </w:r>
          </w:p>
        </w:tc>
        <w:tc>
          <w:tcPr>
            <w:tcW w:type="dxa" w:w="1368"/>
          </w:tcPr>
          <w:p>
            <w:pPr>
              <w:keepNext w:val="0"/>
              <w:spacing w:before="40" w:after="40" w:line="240" w:lineRule="auto"/>
            </w:pPr>
            <w:r>
              <w:rPr>
                <w:rFonts w:ascii="Arial" w:hAnsi="Arial" w:cs="Arial" w:eastAsia="Arial"/>
                <w:b w:val="0"/>
                <w:i w:val="0"/>
                <w:sz w:val="18"/>
              </w:rPr>
              <w:t>People affected, or all personnel</w:t>
            </w:r>
          </w:p>
        </w:tc>
        <w:tc>
          <w:tcPr>
            <w:tcW w:type="dxa" w:w="1512"/>
          </w:tcPr>
          <w:p>
            <w:pPr>
              <w:keepNext w:val="0"/>
              <w:spacing w:before="40" w:after="40" w:line="240" w:lineRule="auto"/>
            </w:pPr>
            <w:r>
              <w:rPr>
                <w:rFonts w:ascii="Arial" w:hAnsi="Arial" w:cs="Arial" w:eastAsia="Arial"/>
                <w:b w:val="0"/>
                <w:i w:val="0"/>
                <w:sz w:val="18"/>
              </w:rPr>
              <w:t>As soon as known</w:t>
            </w:r>
          </w:p>
        </w:tc>
        <w:tc>
          <w:tcPr>
            <w:tcW w:type="dxa" w:w="1440"/>
          </w:tcPr>
          <w:p>
            <w:pPr>
              <w:keepNext w:val="0"/>
              <w:spacing w:before="40" w:after="40" w:line="240" w:lineRule="auto"/>
            </w:pPr>
            <w:sdt>
              <w:sdtPr>
                <w:alias w:val="Email, chat"/>
                <w:tag w:val="~"/>
              </w:sdtPr>
              <w:sdtContent>
                <w:r>
                  <w:rPr>
                    <w:rFonts w:ascii="Arial" w:hAnsi="Arial" w:cs="Arial" w:eastAsia="Arial"/>
                    <w:b w:val="0"/>
                    <w:i w:val="0"/>
                    <w:sz w:val="18"/>
                    <w:highlight w:val="yellow"/>
                  </w:rPr>
                  <w:t>&lt;Email, chat&gt;</w:t>
                </w:r>
              </w:sdtContent>
            </w:sdt>
          </w:p>
        </w:tc>
        <w:tc>
          <w:tcPr>
            <w:tcW w:type="dxa" w:w="1685"/>
          </w:tcPr>
          <w:p>
            <w:pPr>
              <w:keepNext w:val="0"/>
              <w:spacing w:before="40" w:after="40" w:line="240" w:lineRule="auto"/>
            </w:pPr>
            <w:sdt>
              <w:sdtPr>
                <w:alias w:val="ISMS Manager"/>
                <w:tag w:val="~"/>
              </w:sdtPr>
              <w:sdtContent>
                <w:r>
                  <w:rPr>
                    <w:rFonts w:ascii="Arial" w:hAnsi="Arial" w:cs="Arial" w:eastAsia="Arial"/>
                    <w:b w:val="0"/>
                    <w:i w:val="0"/>
                    <w:sz w:val="18"/>
                    <w:highlight w:val="yellow"/>
                  </w:rPr>
                  <w:t>&lt;ISMS Manager&gt;</w:t>
                </w:r>
              </w:sdtContent>
            </w:sdt>
          </w:p>
        </w:tc>
      </w:tr>
      <w:tr>
        <w:trPr>
          <w:cantSplit w:val="true"/>
        </w:trPr>
        <w:tc>
          <w:tcPr>
            <w:tcW w:type="dxa" w:w="1728"/>
          </w:tcPr>
          <w:p>
            <w:pPr>
              <w:keepNext w:val="0"/>
              <w:spacing w:before="40" w:after="40" w:line="240" w:lineRule="auto"/>
            </w:pPr>
            <w:r>
              <w:rPr>
                <w:rFonts w:ascii="Arial" w:hAnsi="Arial" w:cs="Arial" w:eastAsia="Arial"/>
                <w:b w:val="0"/>
                <w:i w:val="0"/>
                <w:sz w:val="18"/>
              </w:rPr>
              <w:t>How to report an incident or a weakness</w:t>
            </w:r>
          </w:p>
        </w:tc>
        <w:tc>
          <w:tcPr>
            <w:tcW w:type="dxa" w:w="1440"/>
          </w:tcPr>
          <w:p>
            <w:pPr>
              <w:keepNext w:val="0"/>
              <w:spacing w:before="40" w:after="40" w:line="240" w:lineRule="auto"/>
            </w:pPr>
            <w:r>
              <w:rPr>
                <w:rFonts w:ascii="Arial" w:hAnsi="Arial" w:cs="Arial" w:eastAsia="Arial"/>
                <w:b w:val="0"/>
                <w:i w:val="0"/>
                <w:sz w:val="18"/>
              </w:rPr>
              <w:t>So reports are made fast</w:t>
            </w:r>
          </w:p>
        </w:tc>
        <w:tc>
          <w:tcPr>
            <w:tcW w:type="dxa" w:w="1368"/>
          </w:tcPr>
          <w:p>
            <w:pPr>
              <w:keepNext w:val="0"/>
              <w:spacing w:before="40" w:after="40" w:line="240" w:lineRule="auto"/>
            </w:pPr>
            <w:r>
              <w:rPr>
                <w:rFonts w:ascii="Arial" w:hAnsi="Arial" w:cs="Arial" w:eastAsia="Arial"/>
                <w:b w:val="0"/>
                <w:i w:val="0"/>
                <w:sz w:val="18"/>
              </w:rPr>
              <w:t>All personnel</w:t>
            </w:r>
          </w:p>
        </w:tc>
        <w:tc>
          <w:tcPr>
            <w:tcW w:type="dxa" w:w="1512"/>
          </w:tcPr>
          <w:p>
            <w:pPr>
              <w:keepNext w:val="0"/>
              <w:spacing w:before="40" w:after="40" w:line="240" w:lineRule="auto"/>
            </w:pPr>
            <w:r>
              <w:rPr>
                <w:rFonts w:ascii="Arial" w:hAnsi="Arial" w:cs="Arial" w:eastAsia="Arial"/>
                <w:b w:val="0"/>
                <w:i w:val="0"/>
                <w:sz w:val="18"/>
              </w:rPr>
              <w:t>At joining, and in each reminder</w:t>
            </w:r>
          </w:p>
        </w:tc>
        <w:tc>
          <w:tcPr>
            <w:tcW w:type="dxa" w:w="1440"/>
          </w:tcPr>
          <w:p>
            <w:pPr>
              <w:keepNext w:val="0"/>
              <w:spacing w:before="40" w:after="40" w:line="240" w:lineRule="auto"/>
            </w:pPr>
            <w:sdt>
              <w:sdtPr>
                <w:alias w:val="Intranet page, mailbox"/>
                <w:tag w:val="~"/>
              </w:sdtPr>
              <w:sdtContent>
                <w:r>
                  <w:rPr>
                    <w:rFonts w:ascii="Arial" w:hAnsi="Arial" w:cs="Arial" w:eastAsia="Arial"/>
                    <w:b w:val="0"/>
                    <w:i w:val="0"/>
                    <w:sz w:val="18"/>
                    <w:highlight w:val="yellow"/>
                  </w:rPr>
                  <w:t>&lt;Intranet page, mailbox&gt;</w:t>
                </w:r>
              </w:sdtContent>
            </w:sdt>
          </w:p>
        </w:tc>
        <w:tc>
          <w:tcPr>
            <w:tcW w:type="dxa" w:w="1685"/>
          </w:tcPr>
          <w:p>
            <w:pPr>
              <w:keepNext w:val="0"/>
              <w:spacing w:before="40" w:after="40" w:line="240" w:lineRule="auto"/>
            </w:pPr>
            <w:sdt>
              <w:sdtPr>
                <w:alias w:val="ISMS Manager"/>
                <w:tag w:val="~"/>
              </w:sdtPr>
              <w:sdtContent>
                <w:r>
                  <w:rPr>
                    <w:rFonts w:ascii="Arial" w:hAnsi="Arial" w:cs="Arial" w:eastAsia="Arial"/>
                    <w:b w:val="0"/>
                    <w:i w:val="0"/>
                    <w:sz w:val="18"/>
                    <w:highlight w:val="yellow"/>
                  </w:rPr>
                  <w:t>&lt;ISMS Manager&gt;</w:t>
                </w:r>
              </w:sdtContent>
            </w:sdt>
          </w:p>
        </w:tc>
      </w:tr>
      <w:tr>
        <w:trPr>
          <w:cantSplit w:val="true"/>
        </w:trPr>
        <w:tc>
          <w:tcPr>
            <w:tcW w:type="dxa" w:w="1728"/>
          </w:tcPr>
          <w:p>
            <w:pPr>
              <w:keepNext w:val="0"/>
              <w:spacing w:before="40" w:after="40" w:line="240" w:lineRule="auto"/>
            </w:pPr>
            <w:r>
              <w:rPr>
                <w:rFonts w:ascii="Arial" w:hAnsi="Arial" w:cs="Arial" w:eastAsia="Arial"/>
                <w:b w:val="0"/>
                <w:i w:val="0"/>
                <w:sz w:val="18"/>
              </w:rPr>
              <w:t>ISMS performance and risks</w:t>
            </w:r>
          </w:p>
        </w:tc>
        <w:tc>
          <w:tcPr>
            <w:tcW w:type="dxa" w:w="1440"/>
          </w:tcPr>
          <w:p>
            <w:pPr>
              <w:keepNext w:val="0"/>
              <w:spacing w:before="40" w:after="40" w:line="240" w:lineRule="auto"/>
            </w:pPr>
            <w:r>
              <w:rPr>
                <w:rFonts w:ascii="Arial" w:hAnsi="Arial" w:cs="Arial" w:eastAsia="Arial"/>
                <w:b w:val="0"/>
                <w:i w:val="0"/>
                <w:sz w:val="18"/>
              </w:rPr>
              <w:t>So leaders can decide and provide resources</w:t>
            </w:r>
          </w:p>
        </w:tc>
        <w:tc>
          <w:tcPr>
            <w:tcW w:type="dxa" w:w="1368"/>
          </w:tcPr>
          <w:p>
            <w:pPr>
              <w:keepNext w:val="0"/>
              <w:spacing w:before="40" w:after="40" w:line="240" w:lineRule="auto"/>
            </w:pPr>
            <w:r>
              <w:rPr>
                <w:rFonts w:ascii="Arial" w:hAnsi="Arial" w:cs="Arial" w:eastAsia="Arial"/>
                <w:b w:val="0"/>
                <w:i w:val="0"/>
                <w:sz w:val="18"/>
              </w:rPr>
              <w:t>Top management</w:t>
            </w:r>
          </w:p>
        </w:tc>
        <w:tc>
          <w:tcPr>
            <w:tcW w:type="dxa" w:w="1512"/>
          </w:tcPr>
          <w:p>
            <w:pPr>
              <w:keepNext w:val="0"/>
              <w:spacing w:before="40" w:after="40" w:line="240" w:lineRule="auto"/>
            </w:pPr>
            <w:sdt>
              <w:sdtPr>
                <w:alias w:val="Monthly or quarterly"/>
                <w:tag w:val="reporting_frequency^"/>
              </w:sdtPr>
              <w:sdtContent>
                <w:r>
                  <w:rPr>
                    <w:rFonts w:ascii="Arial" w:hAnsi="Arial" w:cs="Arial" w:eastAsia="Arial"/>
                    <w:b w:val="0"/>
                    <w:i w:val="0"/>
                    <w:sz w:val="18"/>
                    <w:highlight w:val="yellow"/>
                  </w:rPr>
                  <w:t>&lt;Monthly or quarterly&gt;</w:t>
                </w:r>
              </w:sdtContent>
            </w:sdt>
            <w:r>
              <w:rPr>
                <w:rFonts w:ascii="Arial" w:hAnsi="Arial" w:cs="Arial" w:eastAsia="Arial"/>
                <w:b w:val="0"/>
                <w:i w:val="0"/>
                <w:sz w:val="18"/>
              </w:rPr>
              <w:t>, and at the management review</w:t>
            </w:r>
          </w:p>
        </w:tc>
        <w:tc>
          <w:tcPr>
            <w:tcW w:type="dxa" w:w="1440"/>
          </w:tcPr>
          <w:p>
            <w:pPr>
              <w:keepNext w:val="0"/>
              <w:spacing w:before="40" w:after="40" w:line="240" w:lineRule="auto"/>
            </w:pPr>
            <w:sdt>
              <w:sdtPr>
                <w:alias w:val="Report, meeting"/>
                <w:tag w:val="~"/>
              </w:sdtPr>
              <w:sdtContent>
                <w:r>
                  <w:rPr>
                    <w:rFonts w:ascii="Arial" w:hAnsi="Arial" w:cs="Arial" w:eastAsia="Arial"/>
                    <w:b w:val="0"/>
                    <w:i w:val="0"/>
                    <w:sz w:val="18"/>
                    <w:highlight w:val="yellow"/>
                  </w:rPr>
                  <w:t>&lt;Report, meeting&gt;</w:t>
                </w:r>
              </w:sdtContent>
            </w:sdt>
          </w:p>
        </w:tc>
        <w:tc>
          <w:tcPr>
            <w:tcW w:type="dxa" w:w="1685"/>
          </w:tcPr>
          <w:p>
            <w:pPr>
              <w:keepNext w:val="0"/>
              <w:spacing w:before="40" w:after="40" w:line="240" w:lineRule="auto"/>
            </w:pPr>
            <w:sdt>
              <w:sdtPr>
                <w:alias w:val="ISMS Manager"/>
                <w:tag w:val="~"/>
              </w:sdtPr>
              <w:sdtContent>
                <w:r>
                  <w:rPr>
                    <w:rFonts w:ascii="Arial" w:hAnsi="Arial" w:cs="Arial" w:eastAsia="Arial"/>
                    <w:b w:val="0"/>
                    <w:i w:val="0"/>
                    <w:sz w:val="18"/>
                    <w:highlight w:val="yellow"/>
                  </w:rPr>
                  <w:t>&lt;ISMS Manager&gt;</w:t>
                </w:r>
              </w:sdtContent>
            </w:sdt>
          </w:p>
        </w:tc>
      </w:tr>
      <w:tr>
        <w:trPr>
          <w:cantSplit w:val="true"/>
        </w:trPr>
        <w:tc>
          <w:tcPr>
            <w:tcW w:type="dxa" w:w="1728"/>
          </w:tcPr>
          <w:p>
            <w:pPr>
              <w:keepNext w:val="0"/>
              <w:spacing w:before="40" w:after="40" w:line="240" w:lineRule="auto"/>
            </w:pPr>
            <w:r>
              <w:rPr>
                <w:rFonts w:ascii="Arial" w:hAnsi="Arial" w:cs="Arial" w:eastAsia="Arial"/>
                <w:b w:val="0"/>
                <w:i w:val="0"/>
                <w:sz w:val="18"/>
              </w:rPr>
              <w:t>Outcome of internal audits</w:t>
            </w:r>
          </w:p>
        </w:tc>
        <w:tc>
          <w:tcPr>
            <w:tcW w:type="dxa" w:w="1440"/>
          </w:tcPr>
          <w:p>
            <w:pPr>
              <w:keepNext w:val="0"/>
              <w:spacing w:before="40" w:after="40" w:line="240" w:lineRule="auto"/>
            </w:pPr>
            <w:r>
              <w:rPr>
                <w:rFonts w:ascii="Arial" w:hAnsi="Arial" w:cs="Arial" w:eastAsia="Arial"/>
                <w:b w:val="0"/>
                <w:i w:val="0"/>
                <w:sz w:val="18"/>
              </w:rPr>
              <w:t>So findings are fixed</w:t>
            </w:r>
          </w:p>
        </w:tc>
        <w:tc>
          <w:tcPr>
            <w:tcW w:type="dxa" w:w="1368"/>
          </w:tcPr>
          <w:p>
            <w:pPr>
              <w:keepNext w:val="0"/>
              <w:spacing w:before="40" w:after="40" w:line="240" w:lineRule="auto"/>
            </w:pPr>
            <w:r>
              <w:rPr>
                <w:rFonts w:ascii="Arial" w:hAnsi="Arial" w:cs="Arial" w:eastAsia="Arial"/>
                <w:b w:val="0"/>
                <w:i w:val="0"/>
                <w:sz w:val="18"/>
              </w:rPr>
              <w:t>Managers of the areas audited, top management</w:t>
            </w:r>
          </w:p>
        </w:tc>
        <w:tc>
          <w:tcPr>
            <w:tcW w:type="dxa" w:w="1512"/>
          </w:tcPr>
          <w:p>
            <w:pPr>
              <w:keepNext w:val="0"/>
              <w:spacing w:before="40" w:after="40" w:line="240" w:lineRule="auto"/>
            </w:pPr>
            <w:r>
              <w:rPr>
                <w:rFonts w:ascii="Arial" w:hAnsi="Arial" w:cs="Arial" w:eastAsia="Arial"/>
                <w:b w:val="0"/>
                <w:i w:val="0"/>
                <w:sz w:val="18"/>
              </w:rPr>
              <w:t xml:space="preserve">Within </w:t>
            </w:r>
            <w:sdt>
              <w:sdtPr>
                <w:alias w:val="10"/>
                <w:tag w:val="~"/>
              </w:sdtPr>
              <w:sdtContent>
                <w:r>
                  <w:rPr>
                    <w:rFonts w:ascii="Arial" w:hAnsi="Arial" w:cs="Arial" w:eastAsia="Arial"/>
                    <w:b w:val="0"/>
                    <w:i w:val="0"/>
                    <w:sz w:val="18"/>
                    <w:highlight w:val="yellow"/>
                  </w:rPr>
                  <w:t>&lt;10&gt;</w:t>
                </w:r>
              </w:sdtContent>
            </w:sdt>
            <w:r>
              <w:rPr>
                <w:rFonts w:ascii="Arial" w:hAnsi="Arial" w:cs="Arial" w:eastAsia="Arial"/>
                <w:b w:val="0"/>
                <w:i w:val="0"/>
                <w:sz w:val="18"/>
              </w:rPr>
              <w:t xml:space="preserve"> working days of the audit</w:t>
            </w:r>
          </w:p>
        </w:tc>
        <w:tc>
          <w:tcPr>
            <w:tcW w:type="dxa" w:w="1440"/>
          </w:tcPr>
          <w:p>
            <w:pPr>
              <w:keepNext w:val="0"/>
              <w:spacing w:before="40" w:after="40" w:line="240" w:lineRule="auto"/>
            </w:pPr>
            <w:sdt>
              <w:sdtPr>
                <w:alias w:val="Report, meeting"/>
                <w:tag w:val="~"/>
              </w:sdtPr>
              <w:sdtContent>
                <w:r>
                  <w:rPr>
                    <w:rFonts w:ascii="Arial" w:hAnsi="Arial" w:cs="Arial" w:eastAsia="Arial"/>
                    <w:b w:val="0"/>
                    <w:i w:val="0"/>
                    <w:sz w:val="18"/>
                    <w:highlight w:val="yellow"/>
                  </w:rPr>
                  <w:t>&lt;Report, meeting&gt;</w:t>
                </w:r>
              </w:sdtContent>
            </w:sdt>
          </w:p>
        </w:tc>
        <w:tc>
          <w:tcPr>
            <w:tcW w:type="dxa" w:w="1685"/>
          </w:tcPr>
          <w:p>
            <w:pPr>
              <w:keepNext w:val="0"/>
              <w:spacing w:before="40" w:after="40" w:line="240" w:lineRule="auto"/>
            </w:pPr>
            <w:sdt>
              <w:sdtPr>
                <w:alias w:val="Lead auditor"/>
                <w:tag w:val="~"/>
              </w:sdtPr>
              <w:sdtContent>
                <w:r>
                  <w:rPr>
                    <w:rFonts w:ascii="Arial" w:hAnsi="Arial" w:cs="Arial" w:eastAsia="Arial"/>
                    <w:b w:val="0"/>
                    <w:i w:val="0"/>
                    <w:sz w:val="18"/>
                    <w:highlight w:val="yellow"/>
                  </w:rPr>
                  <w:t>&lt;Lead auditor&gt;</w:t>
                </w:r>
              </w:sdtContent>
            </w:sdt>
          </w:p>
        </w:tc>
      </w:tr>
      <w:tr>
        <w:trPr>
          <w:cantSplit w:val="true"/>
        </w:trPr>
        <w:tc>
          <w:tcPr>
            <w:tcW w:type="dxa" w:w="1728"/>
          </w:tcPr>
          <w:p>
            <w:pPr>
              <w:keepNext w:val="0"/>
              <w:spacing w:before="40" w:after="40" w:line="240" w:lineRule="auto"/>
            </w:pPr>
            <w:r>
              <w:rPr>
                <w:rFonts w:ascii="Arial" w:hAnsi="Arial" w:cs="Arial" w:eastAsia="Arial"/>
                <w:b w:val="0"/>
                <w:i w:val="0"/>
                <w:sz w:val="18"/>
              </w:rPr>
              <w:t>Outcome of the management review</w:t>
            </w:r>
          </w:p>
        </w:tc>
        <w:tc>
          <w:tcPr>
            <w:tcW w:type="dxa" w:w="1440"/>
          </w:tcPr>
          <w:p>
            <w:pPr>
              <w:keepNext w:val="0"/>
              <w:spacing w:before="40" w:after="40" w:line="240" w:lineRule="auto"/>
            </w:pPr>
            <w:r>
              <w:rPr>
                <w:rFonts w:ascii="Arial" w:hAnsi="Arial" w:cs="Arial" w:eastAsia="Arial"/>
                <w:b w:val="0"/>
                <w:i w:val="0"/>
                <w:sz w:val="18"/>
              </w:rPr>
              <w:t>So decisions are carried out</w:t>
            </w:r>
          </w:p>
        </w:tc>
        <w:tc>
          <w:tcPr>
            <w:tcW w:type="dxa" w:w="1368"/>
          </w:tcPr>
          <w:p>
            <w:pPr>
              <w:keepNext w:val="0"/>
              <w:spacing w:before="40" w:after="40" w:line="240" w:lineRule="auto"/>
            </w:pPr>
            <w:r>
              <w:rPr>
                <w:rFonts w:ascii="Arial" w:hAnsi="Arial" w:cs="Arial" w:eastAsia="Arial"/>
                <w:b w:val="0"/>
                <w:i w:val="0"/>
                <w:sz w:val="18"/>
              </w:rPr>
              <w:t>Everyone with an action, and all managers</w:t>
            </w:r>
          </w:p>
        </w:tc>
        <w:tc>
          <w:tcPr>
            <w:tcW w:type="dxa" w:w="1512"/>
          </w:tcPr>
          <w:p>
            <w:pPr>
              <w:keepNext w:val="0"/>
              <w:spacing w:before="40" w:after="40" w:line="240" w:lineRule="auto"/>
            </w:pPr>
            <w:r>
              <w:rPr>
                <w:rFonts w:ascii="Arial" w:hAnsi="Arial" w:cs="Arial" w:eastAsia="Arial"/>
                <w:b w:val="0"/>
                <w:i w:val="0"/>
                <w:sz w:val="18"/>
              </w:rPr>
              <w:t xml:space="preserve">Within </w:t>
            </w:r>
            <w:sdt>
              <w:sdtPr>
                <w:alias w:val="10"/>
                <w:tag w:val="~"/>
              </w:sdtPr>
              <w:sdtContent>
                <w:r>
                  <w:rPr>
                    <w:rFonts w:ascii="Arial" w:hAnsi="Arial" w:cs="Arial" w:eastAsia="Arial"/>
                    <w:b w:val="0"/>
                    <w:i w:val="0"/>
                    <w:sz w:val="18"/>
                    <w:highlight w:val="yellow"/>
                  </w:rPr>
                  <w:t>&lt;10&gt;</w:t>
                </w:r>
              </w:sdtContent>
            </w:sdt>
            <w:r>
              <w:rPr>
                <w:rFonts w:ascii="Arial" w:hAnsi="Arial" w:cs="Arial" w:eastAsia="Arial"/>
                <w:b w:val="0"/>
                <w:i w:val="0"/>
                <w:sz w:val="18"/>
              </w:rPr>
              <w:t xml:space="preserve"> working days</w:t>
            </w:r>
          </w:p>
        </w:tc>
        <w:tc>
          <w:tcPr>
            <w:tcW w:type="dxa" w:w="1440"/>
          </w:tcPr>
          <w:p>
            <w:pPr>
              <w:keepNext w:val="0"/>
              <w:spacing w:before="40" w:after="40" w:line="240" w:lineRule="auto"/>
            </w:pPr>
            <w:sdt>
              <w:sdtPr>
                <w:alias w:val="Minutes, email"/>
                <w:tag w:val="~"/>
              </w:sdtPr>
              <w:sdtContent>
                <w:r>
                  <w:rPr>
                    <w:rFonts w:ascii="Arial" w:hAnsi="Arial" w:cs="Arial" w:eastAsia="Arial"/>
                    <w:b w:val="0"/>
                    <w:i w:val="0"/>
                    <w:sz w:val="18"/>
                    <w:highlight w:val="yellow"/>
                  </w:rPr>
                  <w:t>&lt;Minutes, email&gt;</w:t>
                </w:r>
              </w:sdtContent>
            </w:sdt>
          </w:p>
        </w:tc>
        <w:tc>
          <w:tcPr>
            <w:tcW w:type="dxa" w:w="1685"/>
          </w:tcPr>
          <w:p>
            <w:pPr>
              <w:keepNext w:val="0"/>
              <w:spacing w:before="40" w:after="40" w:line="240" w:lineRule="auto"/>
            </w:pPr>
            <w:sdt>
              <w:sdtPr>
                <w:alias w:val="ISMS Manager"/>
                <w:tag w:val="~"/>
              </w:sdtPr>
              <w:sdtContent>
                <w:r>
                  <w:rPr>
                    <w:rFonts w:ascii="Arial" w:hAnsi="Arial" w:cs="Arial" w:eastAsia="Arial"/>
                    <w:b w:val="0"/>
                    <w:i w:val="0"/>
                    <w:sz w:val="18"/>
                    <w:highlight w:val="yellow"/>
                  </w:rPr>
                  <w:t>&lt;ISMS Manager&gt;</w:t>
                </w:r>
              </w:sdtContent>
            </w:sdt>
          </w:p>
        </w:tc>
      </w:tr>
      <w:tr>
        <w:trPr>
          <w:cantSplit w:val="true"/>
        </w:trPr>
        <w:tc>
          <w:tcPr>
            <w:tcW w:type="dxa" w:w="1728"/>
          </w:tcPr>
          <w:p>
            <w:pPr>
              <w:keepNext w:val="0"/>
              <w:spacing w:before="40" w:after="40" w:line="240" w:lineRule="auto"/>
            </w:pPr>
            <w:r>
              <w:rPr>
                <w:rFonts w:ascii="Arial" w:hAnsi="Arial" w:cs="Arial" w:eastAsia="Arial"/>
                <w:b w:val="0"/>
                <w:i w:val="0"/>
                <w:sz w:val="18"/>
              </w:rPr>
              <w:t>Changes to the ISMS or its scope</w:t>
            </w:r>
          </w:p>
        </w:tc>
        <w:tc>
          <w:tcPr>
            <w:tcW w:type="dxa" w:w="1440"/>
          </w:tcPr>
          <w:p>
            <w:pPr>
              <w:keepNext w:val="0"/>
              <w:spacing w:before="40" w:after="40" w:line="240" w:lineRule="auto"/>
            </w:pPr>
            <w:r>
              <w:rPr>
                <w:rFonts w:ascii="Arial" w:hAnsi="Arial" w:cs="Arial" w:eastAsia="Arial"/>
                <w:b w:val="0"/>
                <w:i w:val="0"/>
                <w:sz w:val="18"/>
              </w:rPr>
              <w:t>So everyone works to the current version</w:t>
            </w:r>
          </w:p>
        </w:tc>
        <w:tc>
          <w:tcPr>
            <w:tcW w:type="dxa" w:w="1368"/>
          </w:tcPr>
          <w:p>
            <w:pPr>
              <w:keepNext w:val="0"/>
              <w:spacing w:before="40" w:after="40" w:line="240" w:lineRule="auto"/>
            </w:pPr>
            <w:r>
              <w:rPr>
                <w:rFonts w:ascii="Arial" w:hAnsi="Arial" w:cs="Arial" w:eastAsia="Arial"/>
                <w:b w:val="0"/>
                <w:i w:val="0"/>
                <w:sz w:val="18"/>
              </w:rPr>
              <w:t>All personnel</w:t>
            </w:r>
          </w:p>
        </w:tc>
        <w:tc>
          <w:tcPr>
            <w:tcW w:type="dxa" w:w="1512"/>
          </w:tcPr>
          <w:p>
            <w:pPr>
              <w:keepNext w:val="0"/>
              <w:spacing w:before="40" w:after="40" w:line="240" w:lineRule="auto"/>
            </w:pPr>
            <w:r>
              <w:rPr>
                <w:rFonts w:ascii="Arial" w:hAnsi="Arial" w:cs="Arial" w:eastAsia="Arial"/>
                <w:b w:val="0"/>
                <w:i w:val="0"/>
                <w:sz w:val="18"/>
              </w:rPr>
              <w:t>Before the change</w:t>
            </w:r>
          </w:p>
        </w:tc>
        <w:tc>
          <w:tcPr>
            <w:tcW w:type="dxa" w:w="1440"/>
          </w:tcPr>
          <w:p>
            <w:pPr>
              <w:keepNext w:val="0"/>
              <w:spacing w:before="40" w:after="40" w:line="240" w:lineRule="auto"/>
            </w:pPr>
            <w:sdt>
              <w:sdtPr>
                <w:alias w:val="Email, intranet"/>
                <w:tag w:val="~"/>
              </w:sdtPr>
              <w:sdtContent>
                <w:r>
                  <w:rPr>
                    <w:rFonts w:ascii="Arial" w:hAnsi="Arial" w:cs="Arial" w:eastAsia="Arial"/>
                    <w:b w:val="0"/>
                    <w:i w:val="0"/>
                    <w:sz w:val="18"/>
                    <w:highlight w:val="yellow"/>
                  </w:rPr>
                  <w:t>&lt;Email, intranet&gt;</w:t>
                </w:r>
              </w:sdtContent>
            </w:sdt>
          </w:p>
        </w:tc>
        <w:tc>
          <w:tcPr>
            <w:tcW w:type="dxa" w:w="1685"/>
          </w:tcPr>
          <w:p>
            <w:pPr>
              <w:keepNext w:val="0"/>
              <w:spacing w:before="40" w:after="40" w:line="240" w:lineRule="auto"/>
            </w:pPr>
            <w:sdt>
              <w:sdtPr>
                <w:alias w:val="ISMS Manager"/>
                <w:tag w:val="~"/>
              </w:sdtPr>
              <w:sdtContent>
                <w:r>
                  <w:rPr>
                    <w:rFonts w:ascii="Arial" w:hAnsi="Arial" w:cs="Arial" w:eastAsia="Arial"/>
                    <w:b w:val="0"/>
                    <w:i w:val="0"/>
                    <w:sz w:val="18"/>
                    <w:highlight w:val="yellow"/>
                  </w:rPr>
                  <w:t>&lt;ISMS Manager&gt;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External communication</w:t>
      </w: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440"/>
            <w:shd w:val="clear" w:color="auto" w:fill="DCE6F5"/>
          </w:tcPr>
          <w:p>
            <w:pPr>
              <w:keepNext w:val="0"/>
              <w:spacing w:before="40" w:after="40" w:line="240" w:lineRule="auto"/>
            </w:pPr>
            <w:r>
              <w:rPr>
                <w:rFonts w:ascii="Arial" w:hAnsi="Arial" w:cs="Arial" w:eastAsia="Arial"/>
                <w:b/>
                <w:i w:val="0"/>
                <w:color w:val="1B253B"/>
                <w:sz w:val="18"/>
              </w:rPr>
              <w:t>With</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w:t>
            </w:r>
          </w:p>
        </w:tc>
        <w:tc>
          <w:tcPr>
            <w:tcW w:type="dxa" w:w="2160"/>
            <w:shd w:val="clear" w:color="auto" w:fill="DCE6F5"/>
          </w:tcPr>
          <w:p>
            <w:pPr>
              <w:keepNext w:val="0"/>
              <w:spacing w:before="40" w:after="40" w:line="240" w:lineRule="auto"/>
            </w:pPr>
            <w:r>
              <w:rPr>
                <w:rFonts w:ascii="Arial" w:hAnsi="Arial" w:cs="Arial" w:eastAsia="Arial"/>
                <w:b/>
                <w:i w:val="0"/>
                <w:color w:val="1B253B"/>
                <w:sz w:val="18"/>
              </w:rPr>
              <w:t>When</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Who communicates</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How</w:t>
            </w:r>
          </w:p>
        </w:tc>
      </w:tr>
      <w:tr>
        <w:trPr>
          <w:cantSplit w:val="true"/>
        </w:trPr>
        <w:tc>
          <w:tcPr>
            <w:tcW w:type="dxa" w:w="1440"/>
          </w:tcPr>
          <w:p>
            <w:pPr>
              <w:keepNext w:val="0"/>
              <w:spacing w:before="40" w:after="40" w:line="240" w:lineRule="auto"/>
            </w:pPr>
            <w:r>
              <w:rPr>
                <w:rFonts w:ascii="Arial" w:hAnsi="Arial" w:cs="Arial" w:eastAsia="Arial"/>
                <w:b w:val="0"/>
                <w:i w:val="0"/>
                <w:sz w:val="18"/>
              </w:rPr>
              <w:t>Customers</w:t>
            </w:r>
          </w:p>
        </w:tc>
        <w:tc>
          <w:tcPr>
            <w:tcW w:type="dxa" w:w="2736"/>
          </w:tcPr>
          <w:p>
            <w:pPr>
              <w:keepNext w:val="0"/>
              <w:spacing w:before="40" w:after="40" w:line="240" w:lineRule="auto"/>
            </w:pPr>
            <w:r>
              <w:rPr>
                <w:rFonts w:ascii="Arial" w:hAnsi="Arial" w:cs="Arial" w:eastAsia="Arial"/>
                <w:b w:val="0"/>
                <w:i w:val="0"/>
                <w:sz w:val="18"/>
              </w:rPr>
              <w:t>Security commitments, certificates, answers to security questionnaires, incident notices that affect them</w:t>
            </w:r>
          </w:p>
        </w:tc>
        <w:tc>
          <w:tcPr>
            <w:tcW w:type="dxa" w:w="2160"/>
          </w:tcPr>
          <w:p>
            <w:pPr>
              <w:keepNext w:val="0"/>
              <w:spacing w:before="40" w:after="40" w:line="240" w:lineRule="auto"/>
            </w:pPr>
            <w:r>
              <w:rPr>
                <w:rFonts w:ascii="Arial" w:hAnsi="Arial" w:cs="Arial" w:eastAsia="Arial"/>
                <w:b w:val="0"/>
                <w:i w:val="0"/>
                <w:sz w:val="18"/>
              </w:rPr>
              <w:t xml:space="preserve">On request, at renewal, and within </w:t>
            </w:r>
            <w:sdt>
              <w:sdtPr>
                <w:alias w:val="timeframe in contract"/>
                <w:tag w:val="06.t4.r0.c2"/>
              </w:sdtPr>
              <w:sdtContent>
                <w:r>
                  <w:rPr>
                    <w:rFonts w:ascii="Arial" w:hAnsi="Arial" w:cs="Arial" w:eastAsia="Arial"/>
                    <w:b w:val="0"/>
                    <w:i w:val="0"/>
                    <w:sz w:val="18"/>
                    <w:highlight w:val="yellow"/>
                  </w:rPr>
                  <w:t>&lt;timeframe in contract&gt;</w:t>
                </w:r>
              </w:sdtContent>
            </w:sdt>
            <w:r>
              <w:rPr>
                <w:rFonts w:ascii="Arial" w:hAnsi="Arial" w:cs="Arial" w:eastAsia="Arial"/>
                <w:b w:val="0"/>
                <w:i w:val="0"/>
                <w:sz w:val="18"/>
              </w:rPr>
              <w:t xml:space="preserve"> of an incident</w:t>
            </w:r>
          </w:p>
        </w:tc>
        <w:tc>
          <w:tcPr>
            <w:tcW w:type="dxa" w:w="1728"/>
          </w:tcPr>
          <w:p>
            <w:pPr>
              <w:keepNext w:val="0"/>
              <w:spacing w:before="40" w:after="40" w:line="240" w:lineRule="auto"/>
            </w:pPr>
            <w:sdt>
              <w:sdtPr>
                <w:alias w:val="Account manager with the ISMS Manager"/>
                <w:tag w:val="06.t4.r0.c3"/>
              </w:sdtPr>
              <w:sdtContent>
                <w:r>
                  <w:rPr>
                    <w:rFonts w:ascii="Arial" w:hAnsi="Arial" w:cs="Arial" w:eastAsia="Arial"/>
                    <w:b w:val="0"/>
                    <w:i w:val="0"/>
                    <w:sz w:val="18"/>
                    <w:highlight w:val="yellow"/>
                  </w:rPr>
                  <w:t>&lt;Account manager with the ISMS Manager&gt;</w:t>
                </w:r>
              </w:sdtContent>
            </w:sdt>
          </w:p>
        </w:tc>
        <w:tc>
          <w:tcPr>
            <w:tcW w:type="dxa" w:w="1152"/>
          </w:tcPr>
          <w:p>
            <w:pPr>
              <w:keepNext w:val="0"/>
              <w:spacing w:before="40" w:after="40" w:line="240" w:lineRule="auto"/>
            </w:pPr>
            <w:sdt>
              <w:sdtPr>
                <w:alias w:val="Email, portal"/>
                <w:tag w:val="06.t4.r0.c4"/>
              </w:sdtPr>
              <w:sdtContent>
                <w:r>
                  <w:rPr>
                    <w:rFonts w:ascii="Arial" w:hAnsi="Arial" w:cs="Arial" w:eastAsia="Arial"/>
                    <w:b w:val="0"/>
                    <w:i w:val="0"/>
                    <w:sz w:val="18"/>
                    <w:highlight w:val="yellow"/>
                  </w:rPr>
                  <w:t>&lt;Email, portal&gt;</w:t>
                </w:r>
              </w:sdtContent>
            </w:sdt>
          </w:p>
        </w:tc>
      </w:tr>
      <w:tr>
        <w:trPr>
          <w:cantSplit w:val="true"/>
        </w:trPr>
        <w:tc>
          <w:tcPr>
            <w:tcW w:type="dxa" w:w="1440"/>
          </w:tcPr>
          <w:p>
            <w:pPr>
              <w:keepNext w:val="0"/>
              <w:spacing w:before="40" w:after="40" w:line="240" w:lineRule="auto"/>
            </w:pPr>
            <w:r>
              <w:rPr>
                <w:rFonts w:ascii="Arial" w:hAnsi="Arial" w:cs="Arial" w:eastAsia="Arial"/>
                <w:b w:val="0"/>
                <w:i w:val="0"/>
                <w:sz w:val="18"/>
              </w:rPr>
              <w:t>Suppliers</w:t>
            </w:r>
          </w:p>
        </w:tc>
        <w:tc>
          <w:tcPr>
            <w:tcW w:type="dxa" w:w="2736"/>
          </w:tcPr>
          <w:p>
            <w:pPr>
              <w:keepNext w:val="0"/>
              <w:spacing w:before="40" w:after="40" w:line="240" w:lineRule="auto"/>
            </w:pPr>
            <w:r>
              <w:rPr>
                <w:rFonts w:ascii="Arial" w:hAnsi="Arial" w:cs="Arial" w:eastAsia="Arial"/>
                <w:b w:val="0"/>
                <w:i w:val="0"/>
                <w:sz w:val="18"/>
              </w:rPr>
              <w:t>Security requirements, audit requests, incident notices</w:t>
            </w:r>
          </w:p>
        </w:tc>
        <w:tc>
          <w:tcPr>
            <w:tcW w:type="dxa" w:w="2160"/>
          </w:tcPr>
          <w:p>
            <w:pPr>
              <w:keepNext w:val="0"/>
              <w:spacing w:before="40" w:after="40" w:line="240" w:lineRule="auto"/>
            </w:pPr>
            <w:r>
              <w:rPr>
                <w:rFonts w:ascii="Arial" w:hAnsi="Arial" w:cs="Arial" w:eastAsia="Arial"/>
                <w:b w:val="0"/>
                <w:i w:val="0"/>
                <w:sz w:val="18"/>
              </w:rPr>
              <w:t>Before contracting, at review and as needed</w:t>
            </w:r>
          </w:p>
        </w:tc>
        <w:tc>
          <w:tcPr>
            <w:tcW w:type="dxa" w:w="1728"/>
          </w:tcPr>
          <w:p>
            <w:pPr>
              <w:keepNext w:val="0"/>
              <w:spacing w:before="40" w:after="40" w:line="240" w:lineRule="auto"/>
            </w:pPr>
            <w:sdt>
              <w:sdtPr>
                <w:alias w:val="Procurement with the ISMS Manager"/>
                <w:tag w:val="06.t4.r1.c3"/>
              </w:sdtPr>
              <w:sdtContent>
                <w:r>
                  <w:rPr>
                    <w:rFonts w:ascii="Arial" w:hAnsi="Arial" w:cs="Arial" w:eastAsia="Arial"/>
                    <w:b w:val="0"/>
                    <w:i w:val="0"/>
                    <w:sz w:val="18"/>
                    <w:highlight w:val="yellow"/>
                  </w:rPr>
                  <w:t>&lt;Procurement with the ISMS Manager&gt;</w:t>
                </w:r>
              </w:sdtContent>
            </w:sdt>
          </w:p>
        </w:tc>
        <w:tc>
          <w:tcPr>
            <w:tcW w:type="dxa" w:w="1152"/>
          </w:tcPr>
          <w:p>
            <w:pPr>
              <w:keepNext w:val="0"/>
              <w:spacing w:before="40" w:after="40" w:line="240" w:lineRule="auto"/>
            </w:pPr>
            <w:sdt>
              <w:sdtPr>
                <w:alias w:val="Contract, email"/>
                <w:tag w:val="06.t4.r1.c4"/>
              </w:sdtPr>
              <w:sdtContent>
                <w:r>
                  <w:rPr>
                    <w:rFonts w:ascii="Arial" w:hAnsi="Arial" w:cs="Arial" w:eastAsia="Arial"/>
                    <w:b w:val="0"/>
                    <w:i w:val="0"/>
                    <w:sz w:val="18"/>
                    <w:highlight w:val="yellow"/>
                  </w:rPr>
                  <w:t>&lt;Contract, email&gt;</w:t>
                </w:r>
              </w:sdtContent>
            </w:sdt>
          </w:p>
        </w:tc>
      </w:tr>
      <w:tr>
        <w:trPr>
          <w:cantSplit w:val="true"/>
        </w:trPr>
        <w:tc>
          <w:tcPr>
            <w:tcW w:type="dxa" w:w="1440"/>
          </w:tcPr>
          <w:p>
            <w:pPr>
              <w:keepNext w:val="0"/>
              <w:spacing w:before="40" w:after="40" w:line="240" w:lineRule="auto"/>
            </w:pPr>
            <w:r>
              <w:rPr>
                <w:rFonts w:ascii="Arial" w:hAnsi="Arial" w:cs="Arial" w:eastAsia="Arial"/>
                <w:b w:val="0"/>
                <w:i w:val="0"/>
                <w:sz w:val="18"/>
              </w:rPr>
              <w:t>Regulators and authorities</w:t>
            </w:r>
          </w:p>
        </w:tc>
        <w:tc>
          <w:tcPr>
            <w:tcW w:type="dxa" w:w="2736"/>
          </w:tcPr>
          <w:p>
            <w:pPr>
              <w:keepNext w:val="0"/>
              <w:spacing w:before="40" w:after="40" w:line="240" w:lineRule="auto"/>
            </w:pPr>
            <w:r>
              <w:rPr>
                <w:rFonts w:ascii="Arial" w:hAnsi="Arial" w:cs="Arial" w:eastAsia="Arial"/>
                <w:b w:val="0"/>
                <w:i w:val="0"/>
                <w:sz w:val="18"/>
              </w:rPr>
              <w:t>Breach notifications and other legal reports</w:t>
            </w:r>
          </w:p>
        </w:tc>
        <w:tc>
          <w:tcPr>
            <w:tcW w:type="dxa" w:w="2160"/>
          </w:tcPr>
          <w:p>
            <w:pPr>
              <w:keepNext w:val="0"/>
              <w:spacing w:before="40" w:after="40" w:line="240" w:lineRule="auto"/>
            </w:pPr>
            <w:r>
              <w:rPr>
                <w:rFonts w:ascii="Arial" w:hAnsi="Arial" w:cs="Arial" w:eastAsia="Arial"/>
                <w:b w:val="0"/>
                <w:i w:val="0"/>
                <w:sz w:val="18"/>
              </w:rPr>
              <w:t xml:space="preserve">Within the time the law requires: </w:t>
            </w:r>
            <w:sdt>
              <w:sdtPr>
                <w:alias w:val="72 hours for a personal data breach"/>
                <w:tag w:val="06.t4.r2.c2"/>
              </w:sdtPr>
              <w:sdtContent>
                <w:r>
                  <w:rPr>
                    <w:rFonts w:ascii="Arial" w:hAnsi="Arial" w:cs="Arial" w:eastAsia="Arial"/>
                    <w:b w:val="0"/>
                    <w:i w:val="0"/>
                    <w:sz w:val="18"/>
                    <w:highlight w:val="yellow"/>
                  </w:rPr>
                  <w:t>&lt;72 hours for a personal data breach&gt;</w:t>
                </w:r>
              </w:sdtContent>
            </w:sdt>
          </w:p>
        </w:tc>
        <w:tc>
          <w:tcPr>
            <w:tcW w:type="dxa" w:w="1728"/>
          </w:tcPr>
          <w:p>
            <w:pPr>
              <w:keepNext w:val="0"/>
              <w:spacing w:before="40" w:after="40" w:line="240" w:lineRule="auto"/>
            </w:pPr>
            <w:sdt>
              <w:sdtPr>
                <w:alias w:val="Privacy lead or legal"/>
                <w:tag w:val="06.t4.r2.c3"/>
              </w:sdtPr>
              <w:sdtContent>
                <w:r>
                  <w:rPr>
                    <w:rFonts w:ascii="Arial" w:hAnsi="Arial" w:cs="Arial" w:eastAsia="Arial"/>
                    <w:b w:val="0"/>
                    <w:i w:val="0"/>
                    <w:sz w:val="18"/>
                    <w:highlight w:val="yellow"/>
                  </w:rPr>
                  <w:t>&lt;Privacy lead or legal&gt;</w:t>
                </w:r>
              </w:sdtContent>
            </w:sdt>
          </w:p>
        </w:tc>
        <w:tc>
          <w:tcPr>
            <w:tcW w:type="dxa" w:w="1152"/>
          </w:tcPr>
          <w:p>
            <w:pPr>
              <w:keepNext w:val="0"/>
              <w:spacing w:before="40" w:after="40" w:line="240" w:lineRule="auto"/>
            </w:pPr>
            <w:sdt>
              <w:sdtPr>
                <w:alias w:val="As the regulator requires"/>
                <w:tag w:val="06.t4.r2.c4"/>
              </w:sdtPr>
              <w:sdtContent>
                <w:r>
                  <w:rPr>
                    <w:rFonts w:ascii="Arial" w:hAnsi="Arial" w:cs="Arial" w:eastAsia="Arial"/>
                    <w:b w:val="0"/>
                    <w:i w:val="0"/>
                    <w:sz w:val="18"/>
                    <w:highlight w:val="yellow"/>
                  </w:rPr>
                  <w:t>&lt;As the regulator requires&gt;</w:t>
                </w:r>
              </w:sdtContent>
            </w:sdt>
          </w:p>
        </w:tc>
      </w:tr>
      <w:tr>
        <w:trPr>
          <w:cantSplit w:val="true"/>
        </w:trPr>
        <w:tc>
          <w:tcPr>
            <w:tcW w:type="dxa" w:w="1440"/>
          </w:tcPr>
          <w:p>
            <w:pPr>
              <w:keepNext w:val="0"/>
              <w:spacing w:before="40" w:after="40" w:line="240" w:lineRule="auto"/>
            </w:pPr>
            <w:r>
              <w:rPr>
                <w:rFonts w:ascii="Arial" w:hAnsi="Arial" w:cs="Arial" w:eastAsia="Arial"/>
                <w:b w:val="0"/>
                <w:i w:val="0"/>
                <w:sz w:val="18"/>
              </w:rPr>
              <w:t>Certification body and auditors</w:t>
            </w:r>
          </w:p>
        </w:tc>
        <w:tc>
          <w:tcPr>
            <w:tcW w:type="dxa" w:w="2736"/>
          </w:tcPr>
          <w:p>
            <w:pPr>
              <w:keepNext w:val="0"/>
              <w:spacing w:before="40" w:after="40" w:line="240" w:lineRule="auto"/>
            </w:pPr>
            <w:r>
              <w:rPr>
                <w:rFonts w:ascii="Arial" w:hAnsi="Arial" w:cs="Arial" w:eastAsia="Arial"/>
                <w:b w:val="0"/>
                <w:i w:val="0"/>
                <w:sz w:val="18"/>
              </w:rPr>
              <w:t>Information needed for the audit</w:t>
            </w:r>
          </w:p>
        </w:tc>
        <w:tc>
          <w:tcPr>
            <w:tcW w:type="dxa" w:w="2160"/>
          </w:tcPr>
          <w:p>
            <w:pPr>
              <w:keepNext w:val="0"/>
              <w:spacing w:before="40" w:after="40" w:line="240" w:lineRule="auto"/>
            </w:pPr>
            <w:r>
              <w:rPr>
                <w:rFonts w:ascii="Arial" w:hAnsi="Arial" w:cs="Arial" w:eastAsia="Arial"/>
                <w:b w:val="0"/>
                <w:i w:val="0"/>
                <w:sz w:val="18"/>
              </w:rPr>
              <w:t>As agreed in the audit plan</w:t>
            </w:r>
          </w:p>
        </w:tc>
        <w:tc>
          <w:tcPr>
            <w:tcW w:type="dxa" w:w="1728"/>
          </w:tcPr>
          <w:p>
            <w:pPr>
              <w:keepNext w:val="0"/>
              <w:spacing w:before="40" w:after="40" w:line="240" w:lineRule="auto"/>
            </w:pPr>
            <w:sdt>
              <w:sdtPr>
                <w:alias w:val="ISMS Manager"/>
                <w:tag w:val="06.t4.r3.c3"/>
              </w:sdtPr>
              <w:sdtContent>
                <w:r>
                  <w:rPr>
                    <w:rFonts w:ascii="Arial" w:hAnsi="Arial" w:cs="Arial" w:eastAsia="Arial"/>
                    <w:b w:val="0"/>
                    <w:i w:val="0"/>
                    <w:sz w:val="18"/>
                    <w:highlight w:val="yellow"/>
                  </w:rPr>
                  <w:t>&lt;ISMS Manager&gt;</w:t>
                </w:r>
              </w:sdtContent>
            </w:sdt>
          </w:p>
        </w:tc>
        <w:tc>
          <w:tcPr>
            <w:tcW w:type="dxa" w:w="1152"/>
          </w:tcPr>
          <w:p>
            <w:pPr>
              <w:keepNext w:val="0"/>
              <w:spacing w:before="40" w:after="40" w:line="240" w:lineRule="auto"/>
            </w:pPr>
            <w:sdt>
              <w:sdtPr>
                <w:alias w:val="Email, meetings"/>
                <w:tag w:val="06.t4.r3.c4"/>
              </w:sdtPr>
              <w:sdtContent>
                <w:r>
                  <w:rPr>
                    <w:rFonts w:ascii="Arial" w:hAnsi="Arial" w:cs="Arial" w:eastAsia="Arial"/>
                    <w:b w:val="0"/>
                    <w:i w:val="0"/>
                    <w:sz w:val="18"/>
                    <w:highlight w:val="yellow"/>
                  </w:rPr>
                  <w:t>&lt;Email, meetings&gt;</w:t>
                </w:r>
              </w:sdtContent>
            </w:sdt>
          </w:p>
        </w:tc>
      </w:tr>
      <w:tr>
        <w:trPr>
          <w:cantSplit w:val="true"/>
        </w:trPr>
        <w:tc>
          <w:tcPr>
            <w:tcW w:type="dxa" w:w="1440"/>
          </w:tcPr>
          <w:p>
            <w:pPr>
              <w:keepNext w:val="0"/>
              <w:spacing w:before="40" w:after="40" w:line="240" w:lineRule="auto"/>
            </w:pPr>
            <w:r>
              <w:rPr>
                <w:rFonts w:ascii="Arial" w:hAnsi="Arial" w:cs="Arial" w:eastAsia="Arial"/>
                <w:b w:val="0"/>
                <w:i w:val="0"/>
                <w:sz w:val="18"/>
              </w:rPr>
              <w:t>Insurers</w:t>
            </w:r>
          </w:p>
        </w:tc>
        <w:tc>
          <w:tcPr>
            <w:tcW w:type="dxa" w:w="2736"/>
          </w:tcPr>
          <w:p>
            <w:pPr>
              <w:keepNext w:val="0"/>
              <w:spacing w:before="40" w:after="40" w:line="240" w:lineRule="auto"/>
            </w:pPr>
            <w:r>
              <w:rPr>
                <w:rFonts w:ascii="Arial" w:hAnsi="Arial" w:cs="Arial" w:eastAsia="Arial"/>
                <w:b w:val="0"/>
                <w:i w:val="0"/>
                <w:sz w:val="18"/>
              </w:rPr>
              <w:t>Incidents that may lead to a claim</w:t>
            </w:r>
          </w:p>
        </w:tc>
        <w:tc>
          <w:tcPr>
            <w:tcW w:type="dxa" w:w="2160"/>
          </w:tcPr>
          <w:p>
            <w:pPr>
              <w:keepNext w:val="0"/>
              <w:spacing w:before="40" w:after="40" w:line="240" w:lineRule="auto"/>
            </w:pPr>
            <w:r>
              <w:rPr>
                <w:rFonts w:ascii="Arial" w:hAnsi="Arial" w:cs="Arial" w:eastAsia="Arial"/>
                <w:b w:val="0"/>
                <w:i w:val="0"/>
                <w:sz w:val="18"/>
              </w:rPr>
              <w:t>As the policy requires</w:t>
            </w:r>
          </w:p>
        </w:tc>
        <w:tc>
          <w:tcPr>
            <w:tcW w:type="dxa" w:w="1728"/>
          </w:tcPr>
          <w:p>
            <w:pPr>
              <w:keepNext w:val="0"/>
              <w:spacing w:before="40" w:after="40" w:line="240" w:lineRule="auto"/>
            </w:pPr>
            <w:sdt>
              <w:sdtPr>
                <w:alias w:val="Finance or legal"/>
                <w:tag w:val="06.t4.r4.c3"/>
              </w:sdtPr>
              <w:sdtContent>
                <w:r>
                  <w:rPr>
                    <w:rFonts w:ascii="Arial" w:hAnsi="Arial" w:cs="Arial" w:eastAsia="Arial"/>
                    <w:b w:val="0"/>
                    <w:i w:val="0"/>
                    <w:sz w:val="18"/>
                    <w:highlight w:val="yellow"/>
                  </w:rPr>
                  <w:t>&lt;Finance or legal&gt;</w:t>
                </w:r>
              </w:sdtContent>
            </w:sdt>
          </w:p>
        </w:tc>
        <w:tc>
          <w:tcPr>
            <w:tcW w:type="dxa" w:w="1152"/>
          </w:tcPr>
          <w:p>
            <w:pPr>
              <w:keepNext w:val="0"/>
              <w:spacing w:before="40" w:after="40" w:line="240" w:lineRule="auto"/>
            </w:pPr>
            <w:sdt>
              <w:sdtPr>
                <w:alias w:val="Email"/>
                <w:tag w:val="06.t4.r4.c4"/>
              </w:sdtPr>
              <w:sdtContent>
                <w:r>
                  <w:rPr>
                    <w:rFonts w:ascii="Arial" w:hAnsi="Arial" w:cs="Arial" w:eastAsia="Arial"/>
                    <w:b w:val="0"/>
                    <w:i w:val="0"/>
                    <w:sz w:val="18"/>
                    <w:highlight w:val="yellow"/>
                  </w:rPr>
                  <w:t>&lt;Email&gt;</w:t>
                </w:r>
              </w:sdtContent>
            </w:sdt>
          </w:p>
        </w:tc>
      </w:tr>
      <w:tr>
        <w:trPr>
          <w:cantSplit w:val="true"/>
        </w:trPr>
        <w:tc>
          <w:tcPr>
            <w:tcW w:type="dxa" w:w="1440"/>
          </w:tcPr>
          <w:p>
            <w:pPr>
              <w:keepNext w:val="0"/>
              <w:spacing w:before="40" w:after="40" w:line="240" w:lineRule="auto"/>
            </w:pPr>
            <w:r>
              <w:rPr>
                <w:rFonts w:ascii="Arial" w:hAnsi="Arial" w:cs="Arial" w:eastAsia="Arial"/>
                <w:b w:val="0"/>
                <w:i w:val="0"/>
                <w:sz w:val="18"/>
              </w:rPr>
              <w:t>The public and the media</w:t>
            </w:r>
          </w:p>
        </w:tc>
        <w:tc>
          <w:tcPr>
            <w:tcW w:type="dxa" w:w="2736"/>
          </w:tcPr>
          <w:p>
            <w:pPr>
              <w:keepNext w:val="0"/>
              <w:spacing w:before="40" w:after="40" w:line="240" w:lineRule="auto"/>
            </w:pPr>
            <w:r>
              <w:rPr>
                <w:rFonts w:ascii="Arial" w:hAnsi="Arial" w:cs="Arial" w:eastAsia="Arial"/>
                <w:b w:val="0"/>
                <w:i w:val="0"/>
                <w:sz w:val="18"/>
              </w:rPr>
              <w:t>Statements about an incident or security matter</w:t>
            </w:r>
          </w:p>
        </w:tc>
        <w:tc>
          <w:tcPr>
            <w:tcW w:type="dxa" w:w="2160"/>
          </w:tcPr>
          <w:p>
            <w:pPr>
              <w:keepNext w:val="0"/>
              <w:spacing w:before="40" w:after="40" w:line="240" w:lineRule="auto"/>
            </w:pPr>
            <w:r>
              <w:rPr>
                <w:rFonts w:ascii="Arial" w:hAnsi="Arial" w:cs="Arial" w:eastAsia="Arial"/>
                <w:b w:val="0"/>
                <w:i w:val="0"/>
                <w:sz w:val="18"/>
              </w:rPr>
              <w:t>Only when approved by top management</w:t>
            </w:r>
          </w:p>
        </w:tc>
        <w:tc>
          <w:tcPr>
            <w:tcW w:type="dxa" w:w="1728"/>
          </w:tcPr>
          <w:p>
            <w:pPr>
              <w:keepNext w:val="0"/>
              <w:spacing w:before="40" w:after="40" w:line="240" w:lineRule="auto"/>
            </w:pPr>
            <w:sdt>
              <w:sdtPr>
                <w:alias w:val="Named spokesperson only"/>
                <w:tag w:val="06.t4.r5.c3"/>
              </w:sdtPr>
              <w:sdtContent>
                <w:r>
                  <w:rPr>
                    <w:rFonts w:ascii="Arial" w:hAnsi="Arial" w:cs="Arial" w:eastAsia="Arial"/>
                    <w:b w:val="0"/>
                    <w:i w:val="0"/>
                    <w:sz w:val="18"/>
                    <w:highlight w:val="yellow"/>
                  </w:rPr>
                  <w:t>&lt;Named spokesperson only&gt;</w:t>
                </w:r>
              </w:sdtContent>
            </w:sdt>
          </w:p>
        </w:tc>
        <w:tc>
          <w:tcPr>
            <w:tcW w:type="dxa" w:w="1152"/>
          </w:tcPr>
          <w:p>
            <w:pPr>
              <w:keepNext w:val="0"/>
              <w:spacing w:before="40" w:after="40" w:line="240" w:lineRule="auto"/>
            </w:pPr>
            <w:sdt>
              <w:sdtPr>
                <w:alias w:val="Press release, website"/>
                <w:tag w:val="06.t4.r5.c4"/>
              </w:sdtPr>
              <w:sdtContent>
                <w:r>
                  <w:rPr>
                    <w:rFonts w:ascii="Arial" w:hAnsi="Arial" w:cs="Arial" w:eastAsia="Arial"/>
                    <w:b w:val="0"/>
                    <w:i w:val="0"/>
                    <w:sz w:val="18"/>
                    <w:highlight w:val="yellow"/>
                  </w:rPr>
                  <w:t>&lt;Press release, website&gt;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Communication during an incident</w:t>
      </w:r>
    </w:p>
    <w:p>
      <w:pPr>
        <w:keepNext w:val="0"/>
        <w:spacing w:before="0" w:after="60" w:line="276" w:lineRule="auto"/>
        <w:ind w:left="504" w:hanging="403"/>
      </w:pPr>
      <w:r>
        <w:rPr>
          <w:rFonts w:ascii="Arial" w:hAnsi="Arial" w:cs="Arial" w:eastAsia="Arial"/>
          <w:b w:val="0"/>
          <w:i w:val="0"/>
          <w:sz w:val="21"/>
        </w:rPr>
        <w:t xml:space="preserve">1.  The person who finds an incident reports it at once to </w:t>
      </w:r>
      <w:sdt>
        <w:sdtPr>
          <w:alias w:val="Where people report incidents"/>
          <w:tag w:val="security_contact"/>
        </w:sdtPr>
        <w:sdtContent>
          <w:r>
            <w:rPr>
              <w:rFonts w:ascii="Arial" w:hAnsi="Arial" w:cs="Arial" w:eastAsia="Arial"/>
              <w:b w:val="0"/>
              <w:i w:val="0"/>
              <w:sz w:val="21"/>
              <w:highlight w:val="yellow"/>
            </w:rPr>
            <w:t>&lt;contact or mailbox&gt;</w:t>
          </w:r>
        </w:sdtContent>
      </w:sdt>
      <w:r>
        <w:rPr>
          <w:rFonts w:ascii="Arial" w:hAnsi="Arial" w:cs="Arial" w:eastAsia="Arial"/>
          <w:b w:val="0"/>
          <w:i w:val="0"/>
          <w:sz w:val="21"/>
        </w:rPr>
        <w:t>.</w:t>
      </w:r>
    </w:p>
    <w:p>
      <w:pPr>
        <w:keepNext w:val="0"/>
        <w:spacing w:before="0" w:after="60" w:line="276" w:lineRule="auto"/>
        <w:ind w:left="504" w:hanging="403"/>
      </w:pPr>
      <w:r>
        <w:rPr>
          <w:rFonts w:ascii="Arial" w:hAnsi="Arial" w:cs="Arial" w:eastAsia="Arial"/>
          <w:b w:val="0"/>
          <w:i w:val="0"/>
          <w:sz w:val="21"/>
        </w:rPr>
        <w:t>2.  The ISMS Manager decides who needs to be told, and starts the incident communication log.</w:t>
      </w:r>
    </w:p>
    <w:p>
      <w:pPr>
        <w:keepNext w:val="0"/>
        <w:spacing w:before="0" w:after="60" w:line="276" w:lineRule="auto"/>
        <w:ind w:left="504" w:hanging="403"/>
      </w:pPr>
      <w:r>
        <w:rPr>
          <w:rFonts w:ascii="Arial" w:hAnsi="Arial" w:cs="Arial" w:eastAsia="Arial"/>
          <w:b w:val="0"/>
          <w:i w:val="0"/>
          <w:sz w:val="21"/>
        </w:rPr>
        <w:t>3.  People inside the organisation are told what they need to do. They are asked not to discuss the incident outside the organisation or on social media.</w:t>
      </w:r>
    </w:p>
    <w:p>
      <w:pPr>
        <w:keepNext w:val="0"/>
        <w:spacing w:before="0" w:after="60" w:line="276" w:lineRule="auto"/>
        <w:ind w:left="504" w:hanging="403"/>
      </w:pPr>
      <w:r>
        <w:rPr>
          <w:rFonts w:ascii="Arial" w:hAnsi="Arial" w:cs="Arial" w:eastAsia="Arial"/>
          <w:b w:val="0"/>
          <w:i w:val="0"/>
          <w:sz w:val="21"/>
        </w:rPr>
        <w:t>4.  Customers, regulators and others are told by the people named in section 5, within the time required by law or contract.</w:t>
      </w:r>
    </w:p>
    <w:p>
      <w:pPr>
        <w:keepNext w:val="0"/>
        <w:spacing w:before="0" w:after="60" w:line="276" w:lineRule="auto"/>
        <w:ind w:left="504" w:hanging="403"/>
      </w:pPr>
      <w:r>
        <w:rPr>
          <w:rFonts w:ascii="Arial" w:hAnsi="Arial" w:cs="Arial" w:eastAsia="Arial"/>
          <w:b w:val="0"/>
          <w:i w:val="0"/>
          <w:sz w:val="21"/>
        </w:rPr>
        <w:t>5.  Nobody else speaks to the media or to outside parties about the incident.</w:t>
      </w:r>
    </w:p>
    <w:p>
      <w:pPr>
        <w:keepNext w:val="0"/>
        <w:spacing w:before="0" w:after="60" w:line="276" w:lineRule="auto"/>
        <w:ind w:left="504" w:hanging="403"/>
      </w:pPr>
      <w:r>
        <w:rPr>
          <w:rFonts w:ascii="Arial" w:hAnsi="Arial" w:cs="Arial" w:eastAsia="Arial"/>
          <w:b w:val="0"/>
          <w:i w:val="0"/>
          <w:sz w:val="21"/>
        </w:rPr>
        <w:t>6.  When the incident is closed, the lessons learned are shared with the people who can use them.</w:t>
      </w:r>
    </w:p>
    <w:p>
      <w:pPr>
        <w:keepNext w:val="0"/>
        <w:spacing w:before="0" w:after="40" w:line="240" w:lineRule="auto"/>
      </w:pPr>
    </w:p>
    <w:p>
      <w:pPr>
        <w:keepNext/>
        <w:spacing w:before="280" w:after="120" w:line="264" w:lineRule="auto"/>
      </w:pPr>
      <w:r>
        <w:rPr>
          <w:rFonts w:ascii="Arial" w:hAnsi="Arial" w:cs="Arial" w:eastAsia="Arial"/>
          <w:b/>
          <w:i w:val="0"/>
          <w:color w:val="1B253B"/>
          <w:sz w:val="28"/>
        </w:rPr>
        <w:t>7. Contacts</w:t>
      </w:r>
    </w:p>
    <w:tbl>
      <w:tblPr>
        <w:tblStyle w:val="TableGrid"/>
        <w:tblW w:type="auto" w:w="0"/>
        <w:jc w:val="center"/>
        <w:tblLayout w:type="fixed"/>
        <w:tblLook w:firstColumn="1" w:firstRow="1" w:lastColumn="0" w:lastRow="0" w:noHBand="0" w:noVBand="1" w:val="04A0"/>
      </w:tblPr>
      <w:tblGrid>
        <w:gridCol w:w="2293"/>
        <w:gridCol w:w="2293"/>
        <w:gridCol w:w="2293"/>
        <w:gridCol w:w="2293"/>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Role</w:t>
            </w:r>
          </w:p>
        </w:tc>
        <w:tc>
          <w:tcPr>
            <w:tcW w:type="dxa" w:w="2160"/>
            <w:shd w:val="clear" w:color="auto" w:fill="DCE6F5"/>
          </w:tcPr>
          <w:p>
            <w:pPr>
              <w:keepNext w:val="0"/>
              <w:spacing w:before="40" w:after="40" w:line="240" w:lineRule="auto"/>
            </w:pPr>
            <w:r>
              <w:rPr>
                <w:rFonts w:ascii="Arial" w:hAnsi="Arial" w:cs="Arial" w:eastAsia="Arial"/>
                <w:b/>
                <w:i w:val="0"/>
                <w:color w:val="1B253B"/>
                <w:sz w:val="18"/>
              </w:rPr>
              <w:t>Name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Phone</w:t>
            </w:r>
          </w:p>
        </w:tc>
        <w:tc>
          <w:tcPr>
            <w:tcW w:type="dxa" w:w="2304"/>
            <w:shd w:val="clear" w:color="auto" w:fill="DCE6F5"/>
          </w:tcPr>
          <w:p>
            <w:pPr>
              <w:keepNext w:val="0"/>
              <w:spacing w:before="40" w:after="40" w:line="240" w:lineRule="auto"/>
            </w:pPr>
            <w:r>
              <w:rPr>
                <w:rFonts w:ascii="Arial" w:hAnsi="Arial" w:cs="Arial" w:eastAsia="Arial"/>
                <w:b/>
                <w:i w:val="0"/>
                <w:color w:val="1B253B"/>
                <w:sz w:val="18"/>
              </w:rPr>
              <w:t>Email</w:t>
            </w:r>
          </w:p>
        </w:tc>
      </w:tr>
      <w:tr>
        <w:trPr>
          <w:cantSplit w:val="true"/>
        </w:trPr>
        <w:tc>
          <w:tcPr>
            <w:tcW w:type="dxa" w:w="2736"/>
          </w:tcPr>
          <w:p>
            <w:pPr>
              <w:keepNext w:val="0"/>
              <w:spacing w:before="40" w:after="40" w:line="240" w:lineRule="auto"/>
            </w:pPr>
            <w:r>
              <w:rPr>
                <w:rFonts w:ascii="Arial" w:hAnsi="Arial" w:cs="Arial" w:eastAsia="Arial"/>
                <w:b w:val="0"/>
                <w:i w:val="0"/>
                <w:sz w:val="18"/>
              </w:rPr>
              <w:t>ISMS Manager</w:t>
            </w:r>
          </w:p>
        </w:tc>
        <w:tc>
          <w:tcPr>
            <w:tcW w:type="dxa" w:w="2160"/>
          </w:tcPr>
          <w:p>
            <w:pPr>
              <w:keepNext w:val="0"/>
              <w:spacing w:before="40" w:after="40" w:line="240" w:lineRule="auto"/>
            </w:pPr>
            <w:sdt>
              <w:sdtPr>
                <w:alias w:val="ISMS Manager: name"/>
                <w:tag w:val="isms_manag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ISMS Manager: phone"/>
                <w:tag w:val="isms_manager_phone"/>
              </w:sdtPr>
              <w:sdtContent>
                <w:r>
                  <w:rPr>
                    <w:rFonts w:ascii="Arial" w:hAnsi="Arial" w:cs="Arial" w:eastAsia="Arial"/>
                    <w:b w:val="0"/>
                    <w:i w:val="0"/>
                    <w:sz w:val="18"/>
                    <w:highlight w:val="yellow"/>
                  </w:rPr>
                  <w:t>&lt;Phone&gt;</w:t>
                </w:r>
              </w:sdtContent>
            </w:sdt>
          </w:p>
        </w:tc>
        <w:tc>
          <w:tcPr>
            <w:tcW w:type="dxa" w:w="2304"/>
          </w:tcPr>
          <w:p>
            <w:pPr>
              <w:keepNext w:val="0"/>
              <w:spacing w:before="40" w:after="40" w:line="240" w:lineRule="auto"/>
            </w:pPr>
            <w:sdt>
              <w:sdtPr>
                <w:alias w:val="ISMS Manager: email"/>
                <w:tag w:val="isms_manager_email"/>
              </w:sdtPr>
              <w:sdtContent>
                <w:r>
                  <w:rPr>
                    <w:rFonts w:ascii="Arial" w:hAnsi="Arial" w:cs="Arial" w:eastAsia="Arial"/>
                    <w:b w:val="0"/>
                    <w:i w:val="0"/>
                    <w:sz w:val="18"/>
                    <w:highlight w:val="yellow"/>
                  </w:rPr>
                  <w:t>&lt;Email&gt;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Deputy ISMS Manager</w:t>
            </w:r>
          </w:p>
        </w:tc>
        <w:tc>
          <w:tcPr>
            <w:tcW w:type="dxa" w:w="2160"/>
          </w:tcPr>
          <w:p>
            <w:pPr>
              <w:keepNext w:val="0"/>
              <w:spacing w:before="40" w:after="40" w:line="240" w:lineRule="auto"/>
            </w:pPr>
            <w:sdt>
              <w:sdtPr>
                <w:alias w:val="Name"/>
                <w:tag w:val="06.t5.r1.c1"/>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Phone"/>
                <w:tag w:val="06.t5.r1.c2"/>
              </w:sdtPr>
              <w:sdtContent>
                <w:r>
                  <w:rPr>
                    <w:rFonts w:ascii="Arial" w:hAnsi="Arial" w:cs="Arial" w:eastAsia="Arial"/>
                    <w:b w:val="0"/>
                    <w:i w:val="0"/>
                    <w:sz w:val="18"/>
                    <w:highlight w:val="yellow"/>
                  </w:rPr>
                  <w:t>&lt;Phone&gt;</w:t>
                </w:r>
              </w:sdtContent>
            </w:sdt>
          </w:p>
        </w:tc>
        <w:tc>
          <w:tcPr>
            <w:tcW w:type="dxa" w:w="2304"/>
          </w:tcPr>
          <w:p>
            <w:pPr>
              <w:keepNext w:val="0"/>
              <w:spacing w:before="40" w:after="40" w:line="240" w:lineRule="auto"/>
            </w:pPr>
            <w:sdt>
              <w:sdtPr>
                <w:alias w:val="Email"/>
                <w:tag w:val="06.t5.r1.c3"/>
              </w:sdtPr>
              <w:sdtContent>
                <w:r>
                  <w:rPr>
                    <w:rFonts w:ascii="Arial" w:hAnsi="Arial" w:cs="Arial" w:eastAsia="Arial"/>
                    <w:b w:val="0"/>
                    <w:i w:val="0"/>
                    <w:sz w:val="18"/>
                    <w:highlight w:val="yellow"/>
                  </w:rPr>
                  <w:t>&lt;Email&gt;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Top management contact</w:t>
            </w:r>
          </w:p>
        </w:tc>
        <w:tc>
          <w:tcPr>
            <w:tcW w:type="dxa" w:w="2160"/>
          </w:tcPr>
          <w:p>
            <w:pPr>
              <w:keepNext w:val="0"/>
              <w:spacing w:before="40" w:after="40" w:line="240" w:lineRule="auto"/>
            </w:pPr>
            <w:sdt>
              <w:sdtPr>
                <w:alias w:val="Name"/>
                <w:tag w:val="06.t5.r2.c1"/>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Phone"/>
                <w:tag w:val="06.t5.r2.c2"/>
              </w:sdtPr>
              <w:sdtContent>
                <w:r>
                  <w:rPr>
                    <w:rFonts w:ascii="Arial" w:hAnsi="Arial" w:cs="Arial" w:eastAsia="Arial"/>
                    <w:b w:val="0"/>
                    <w:i w:val="0"/>
                    <w:sz w:val="18"/>
                    <w:highlight w:val="yellow"/>
                  </w:rPr>
                  <w:t>&lt;Phone&gt;</w:t>
                </w:r>
              </w:sdtContent>
            </w:sdt>
          </w:p>
        </w:tc>
        <w:tc>
          <w:tcPr>
            <w:tcW w:type="dxa" w:w="2304"/>
          </w:tcPr>
          <w:p>
            <w:pPr>
              <w:keepNext w:val="0"/>
              <w:spacing w:before="40" w:after="40" w:line="240" w:lineRule="auto"/>
            </w:pPr>
            <w:sdt>
              <w:sdtPr>
                <w:alias w:val="Email"/>
                <w:tag w:val="06.t5.r2.c3"/>
              </w:sdtPr>
              <w:sdtContent>
                <w:r>
                  <w:rPr>
                    <w:rFonts w:ascii="Arial" w:hAnsi="Arial" w:cs="Arial" w:eastAsia="Arial"/>
                    <w:b w:val="0"/>
                    <w:i w:val="0"/>
                    <w:sz w:val="18"/>
                    <w:highlight w:val="yellow"/>
                  </w:rPr>
                  <w:t>&lt;Email&gt;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IT and operations lead</w:t>
            </w:r>
          </w:p>
        </w:tc>
        <w:tc>
          <w:tcPr>
            <w:tcW w:type="dxa" w:w="2160"/>
          </w:tcPr>
          <w:p>
            <w:pPr>
              <w:keepNext w:val="0"/>
              <w:spacing w:before="40" w:after="40" w:line="240" w:lineRule="auto"/>
            </w:pPr>
            <w:sdt>
              <w:sdtPr>
                <w:alias w:val="Name"/>
                <w:tag w:val="06.t5.r3.c1"/>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Phone"/>
                <w:tag w:val="06.t5.r3.c2"/>
              </w:sdtPr>
              <w:sdtContent>
                <w:r>
                  <w:rPr>
                    <w:rFonts w:ascii="Arial" w:hAnsi="Arial" w:cs="Arial" w:eastAsia="Arial"/>
                    <w:b w:val="0"/>
                    <w:i w:val="0"/>
                    <w:sz w:val="18"/>
                    <w:highlight w:val="yellow"/>
                  </w:rPr>
                  <w:t>&lt;Phone&gt;</w:t>
                </w:r>
              </w:sdtContent>
            </w:sdt>
          </w:p>
        </w:tc>
        <w:tc>
          <w:tcPr>
            <w:tcW w:type="dxa" w:w="2304"/>
          </w:tcPr>
          <w:p>
            <w:pPr>
              <w:keepNext w:val="0"/>
              <w:spacing w:before="40" w:after="40" w:line="240" w:lineRule="auto"/>
            </w:pPr>
            <w:sdt>
              <w:sdtPr>
                <w:alias w:val="Email"/>
                <w:tag w:val="06.t5.r3.c3"/>
              </w:sdtPr>
              <w:sdtContent>
                <w:r>
                  <w:rPr>
                    <w:rFonts w:ascii="Arial" w:hAnsi="Arial" w:cs="Arial" w:eastAsia="Arial"/>
                    <w:b w:val="0"/>
                    <w:i w:val="0"/>
                    <w:sz w:val="18"/>
                    <w:highlight w:val="yellow"/>
                  </w:rPr>
                  <w:t>&lt;Email&gt;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Privacy or data protection lead</w:t>
            </w:r>
          </w:p>
        </w:tc>
        <w:tc>
          <w:tcPr>
            <w:tcW w:type="dxa" w:w="2160"/>
          </w:tcPr>
          <w:p>
            <w:pPr>
              <w:keepNext w:val="0"/>
              <w:spacing w:before="40" w:after="40" w:line="240" w:lineRule="auto"/>
            </w:pPr>
            <w:sdt>
              <w:sdtPr>
                <w:alias w:val="Name"/>
                <w:tag w:val="06.t5.r4.c1"/>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Phone"/>
                <w:tag w:val="06.t5.r4.c2"/>
              </w:sdtPr>
              <w:sdtContent>
                <w:r>
                  <w:rPr>
                    <w:rFonts w:ascii="Arial" w:hAnsi="Arial" w:cs="Arial" w:eastAsia="Arial"/>
                    <w:b w:val="0"/>
                    <w:i w:val="0"/>
                    <w:sz w:val="18"/>
                    <w:highlight w:val="yellow"/>
                  </w:rPr>
                  <w:t>&lt;Phone&gt;</w:t>
                </w:r>
              </w:sdtContent>
            </w:sdt>
          </w:p>
        </w:tc>
        <w:tc>
          <w:tcPr>
            <w:tcW w:type="dxa" w:w="2304"/>
          </w:tcPr>
          <w:p>
            <w:pPr>
              <w:keepNext w:val="0"/>
              <w:spacing w:before="40" w:after="40" w:line="240" w:lineRule="auto"/>
            </w:pPr>
            <w:sdt>
              <w:sdtPr>
                <w:alias w:val="Email"/>
                <w:tag w:val="06.t5.r4.c3"/>
              </w:sdtPr>
              <w:sdtContent>
                <w:r>
                  <w:rPr>
                    <w:rFonts w:ascii="Arial" w:hAnsi="Arial" w:cs="Arial" w:eastAsia="Arial"/>
                    <w:b w:val="0"/>
                    <w:i w:val="0"/>
                    <w:sz w:val="18"/>
                    <w:highlight w:val="yellow"/>
                  </w:rPr>
                  <w:t>&lt;Email&gt;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Legal adviser</w:t>
            </w:r>
          </w:p>
        </w:tc>
        <w:tc>
          <w:tcPr>
            <w:tcW w:type="dxa" w:w="2160"/>
          </w:tcPr>
          <w:p>
            <w:pPr>
              <w:keepNext w:val="0"/>
              <w:spacing w:before="40" w:after="40" w:line="240" w:lineRule="auto"/>
            </w:pPr>
            <w:sdt>
              <w:sdtPr>
                <w:alias w:val="Name"/>
                <w:tag w:val="06.t5.r5.c1"/>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Phone"/>
                <w:tag w:val="06.t5.r5.c2"/>
              </w:sdtPr>
              <w:sdtContent>
                <w:r>
                  <w:rPr>
                    <w:rFonts w:ascii="Arial" w:hAnsi="Arial" w:cs="Arial" w:eastAsia="Arial"/>
                    <w:b w:val="0"/>
                    <w:i w:val="0"/>
                    <w:sz w:val="18"/>
                    <w:highlight w:val="yellow"/>
                  </w:rPr>
                  <w:t>&lt;Phone&gt;</w:t>
                </w:r>
              </w:sdtContent>
            </w:sdt>
          </w:p>
        </w:tc>
        <w:tc>
          <w:tcPr>
            <w:tcW w:type="dxa" w:w="2304"/>
          </w:tcPr>
          <w:p>
            <w:pPr>
              <w:keepNext w:val="0"/>
              <w:spacing w:before="40" w:after="40" w:line="240" w:lineRule="auto"/>
            </w:pPr>
            <w:sdt>
              <w:sdtPr>
                <w:alias w:val="Email"/>
                <w:tag w:val="06.t5.r5.c3"/>
              </w:sdtPr>
              <w:sdtContent>
                <w:r>
                  <w:rPr>
                    <w:rFonts w:ascii="Arial" w:hAnsi="Arial" w:cs="Arial" w:eastAsia="Arial"/>
                    <w:b w:val="0"/>
                    <w:i w:val="0"/>
                    <w:sz w:val="18"/>
                    <w:highlight w:val="yellow"/>
                  </w:rPr>
                  <w:t>&lt;Email&gt;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Spokesperson</w:t>
            </w:r>
          </w:p>
        </w:tc>
        <w:tc>
          <w:tcPr>
            <w:tcW w:type="dxa" w:w="2160"/>
          </w:tcPr>
          <w:p>
            <w:pPr>
              <w:keepNext w:val="0"/>
              <w:spacing w:before="40" w:after="40" w:line="240" w:lineRule="auto"/>
            </w:pPr>
            <w:sdt>
              <w:sdtPr>
                <w:alias w:val="Name"/>
                <w:tag w:val="06.t5.r6.c1"/>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Phone"/>
                <w:tag w:val="06.t5.r6.c2"/>
              </w:sdtPr>
              <w:sdtContent>
                <w:r>
                  <w:rPr>
                    <w:rFonts w:ascii="Arial" w:hAnsi="Arial" w:cs="Arial" w:eastAsia="Arial"/>
                    <w:b w:val="0"/>
                    <w:i w:val="0"/>
                    <w:sz w:val="18"/>
                    <w:highlight w:val="yellow"/>
                  </w:rPr>
                  <w:t>&lt;Phone&gt;</w:t>
                </w:r>
              </w:sdtContent>
            </w:sdt>
          </w:p>
        </w:tc>
        <w:tc>
          <w:tcPr>
            <w:tcW w:type="dxa" w:w="2304"/>
          </w:tcPr>
          <w:p>
            <w:pPr>
              <w:keepNext w:val="0"/>
              <w:spacing w:before="40" w:after="40" w:line="240" w:lineRule="auto"/>
            </w:pPr>
            <w:sdt>
              <w:sdtPr>
                <w:alias w:val="Email"/>
                <w:tag w:val="06.t5.r6.c3"/>
              </w:sdtPr>
              <w:sdtContent>
                <w:r>
                  <w:rPr>
                    <w:rFonts w:ascii="Arial" w:hAnsi="Arial" w:cs="Arial" w:eastAsia="Arial"/>
                    <w:b w:val="0"/>
                    <w:i w:val="0"/>
                    <w:sz w:val="18"/>
                    <w:highlight w:val="yellow"/>
                  </w:rPr>
                  <w:t>&lt;Email&gt;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Records and review</w:t>
      </w:r>
    </w:p>
    <w:p>
      <w:pPr>
        <w:keepNext w:val="0"/>
        <w:spacing w:before="0" w:after="120" w:line="276" w:lineRule="auto"/>
      </w:pPr>
      <w:r>
        <w:rPr>
          <w:rFonts w:ascii="Arial" w:hAnsi="Arial" w:cs="Arial" w:eastAsia="Arial"/>
          <w:b w:val="0"/>
          <w:i w:val="0"/>
          <w:sz w:val="21"/>
        </w:rPr>
        <w:t>Records of significant communication, such as incident notices, regulator reports and training attendance, are kept as set out in the procedure for the control of documented information (ISMS-05). The effectiveness of this plan is checked at least once a year: Do people know how to report an incident? Did the right people get the right message in time? The result goes to the management review.</w:t>
      </w: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Information Security Communication Plan</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Communication Plan</dc:title>
  <dc:subject/>
  <dc:creator>Offset Assure</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