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spacing w:before="0" w:after="120" w:line="276" w:lineRule="auto"/>
      </w:pPr>
      <w:r>
        <w:rPr>
          <w:rFonts w:ascii="Arial" w:hAnsi="Arial" w:cs="Arial" w:eastAsia="Arial"/>
          <w:b/>
          <w:i w:val="0"/>
          <w:sz w:val="21"/>
        </w:rPr>
        <w:t>Delete this page before you use the document.</w:t>
      </w:r>
    </w:p>
    <w:p>
      <w:pPr>
        <w:spacing w:before="0" w:after="120" w:line="276" w:lineRule="auto"/>
      </w:pPr>
      <w:r>
        <w:rPr>
          <w:rFonts w:ascii="Arial" w:hAnsi="Arial" w:cs="Arial" w:eastAsia="Arial"/>
          <w:b w:val="0"/>
          <w:i w:val="0"/>
          <w:sz w:val="21"/>
        </w:rPr>
        <w:t>This is a complete, ready-to-edit document for an ISO/IEC 27001:2022 information security management system (ISMS). It is written for an ordinary organisation, so most of it can stay as it is once you have made it true for you.</w:t>
      </w:r>
    </w:p>
    <w:p>
      <w:pPr>
        <w:keepNext/>
        <w:spacing w:before="280" w:after="120" w:line="264" w:lineRule="auto"/>
      </w:pPr>
      <w:r>
        <w:rPr>
          <w:rFonts w:ascii="Arial" w:hAnsi="Arial" w:cs="Arial" w:eastAsia="Arial"/>
          <w:b/>
          <w:i w:val="0"/>
          <w:color w:val="1B253B"/>
          <w:sz w:val="28"/>
        </w:rPr>
        <w:t>How to use it</w:t>
      </w:r>
    </w:p>
    <w:p>
      <w:pPr>
        <w:spacing w:before="0" w:after="60" w:line="276" w:lineRule="auto"/>
        <w:ind w:left="510" w:hanging="397"/>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 The page header has one too.</w:t>
      </w:r>
    </w:p>
    <w:p>
      <w:pPr>
        <w:spacing w:before="0" w:after="60" w:line="276" w:lineRule="auto"/>
        <w:ind w:left="510" w:hanging="397"/>
      </w:pPr>
      <w:r>
        <w:rPr>
          <w:rFonts w:ascii="Arial" w:hAnsi="Arial" w:cs="Arial" w:eastAsia="Arial"/>
          <w:b w:val="0"/>
          <w:i w:val="0"/>
          <w:sz w:val="21"/>
        </w:rPr>
        <w:t>2.  Read each section and ask whether it describes what you really do. If it does not, change it to match your practice. A document that says one thing while the organisation does another is worse than no document.</w:t>
      </w:r>
    </w:p>
    <w:p>
      <w:pPr>
        <w:spacing w:before="0" w:after="60" w:line="276" w:lineRule="auto"/>
        <w:ind w:left="510" w:hanging="397"/>
      </w:pPr>
      <w:r>
        <w:rPr>
          <w:rFonts w:ascii="Arial" w:hAnsi="Arial" w:cs="Arial" w:eastAsia="Arial"/>
          <w:b w:val="0"/>
          <w:i w:val="0"/>
          <w:sz w:val="21"/>
        </w:rPr>
        <w:t>3.  If a section does not apply to you, remove it, or say briefly why it does not apply.</w:t>
      </w:r>
    </w:p>
    <w:p>
      <w:pPr>
        <w:spacing w:before="0" w:after="60" w:line="276" w:lineRule="auto"/>
        <w:ind w:left="510" w:hanging="397"/>
      </w:pPr>
      <w:r>
        <w:rPr>
          <w:rFonts w:ascii="Arial" w:hAnsi="Arial" w:cs="Arial" w:eastAsia="Arial"/>
          <w:b w:val="0"/>
          <w:i w:val="0"/>
          <w:sz w:val="21"/>
        </w:rPr>
        <w:t>4.  Fill in the document information table on the next page: the owner, the version, who approved it and the date of the next review.</w:t>
      </w:r>
    </w:p>
    <w:p>
      <w:pPr>
        <w:spacing w:before="0" w:after="60" w:line="276" w:lineRule="auto"/>
        <w:ind w:left="510" w:hanging="397"/>
      </w:pPr>
      <w:r>
        <w:rPr>
          <w:rFonts w:ascii="Arial" w:hAnsi="Arial" w:cs="Arial" w:eastAsia="Arial"/>
          <w:b w:val="0"/>
          <w:i w:val="0"/>
          <w:sz w:val="21"/>
        </w:rPr>
        <w:t>5.  Delete the grey guidance notes once you have read them.</w:t>
      </w:r>
    </w:p>
    <w:p>
      <w:pPr>
        <w:spacing w:before="0" w:after="60" w:line="276" w:lineRule="auto"/>
        <w:ind w:left="510" w:hanging="397"/>
      </w:pPr>
      <w:r>
        <w:rPr>
          <w:rFonts w:ascii="Arial" w:hAnsi="Arial" w:cs="Arial" w:eastAsia="Arial"/>
          <w:b w:val="0"/>
          <w:i w:val="0"/>
          <w:sz w:val="21"/>
        </w:rPr>
        <w:t>6.  Have it approved by the person named as approver, then record it in Policies, with its owner and review date.</w:t>
      </w:r>
    </w:p>
    <w:p>
      <w:pPr>
        <w:keepNext/>
        <w:spacing w:before="280" w:after="120" w:line="264" w:lineRule="auto"/>
      </w:pPr>
      <w:r>
        <w:rPr>
          <w:rFonts w:ascii="Arial" w:hAnsi="Arial" w:cs="Arial" w:eastAsia="Arial"/>
          <w:b/>
          <w:i w:val="0"/>
          <w:color w:val="1B253B"/>
          <w:sz w:val="28"/>
        </w:rPr>
        <w:t>Before you finish</w:t>
      </w:r>
    </w:p>
    <w:p>
      <w:pPr>
        <w:pStyle w:val="ListBullet"/>
        <w:spacing w:before="0" w:after="60" w:line="276" w:lineRule="auto"/>
      </w:pPr>
      <w:r>
        <w:rPr>
          <w:rFonts w:ascii="Arial" w:hAnsi="Arial" w:cs="Arial" w:eastAsia="Arial"/>
          <w:b w:val="0"/>
          <w:i w:val="0"/>
          <w:sz w:val="21"/>
        </w:rPr>
        <w:t>No yellow highlighting or angle brackets are left in the text.</w:t>
      </w:r>
    </w:p>
    <w:p>
      <w:pPr>
        <w:pStyle w:val="ListBullet"/>
        <w:spacing w:before="0" w:after="60" w:line="276" w:lineRule="auto"/>
      </w:pPr>
      <w:r>
        <w:rPr>
          <w:rFonts w:ascii="Arial" w:hAnsi="Arial" w:cs="Arial" w:eastAsia="Arial"/>
          <w:b w:val="0"/>
          <w:i w:val="0"/>
          <w:sz w:val="21"/>
        </w:rPr>
        <w:t>The document has been proofread for spelling, grammar and consistency of names and roles.</w:t>
      </w:r>
    </w:p>
    <w:p>
      <w:pPr>
        <w:pStyle w:val="ListBullet"/>
        <w:spacing w:before="0" w:after="60" w:line="276" w:lineRule="auto"/>
      </w:pPr>
      <w:r>
        <w:rPr>
          <w:rFonts w:ascii="Arial" w:hAnsi="Arial" w:cs="Arial" w:eastAsia="Arial"/>
          <w:b w:val="0"/>
          <w:i w:val="0"/>
          <w:sz w:val="21"/>
        </w:rPr>
        <w:t>Somebody who does the work has read it and agrees that it reflects what happens.</w:t>
      </w:r>
    </w:p>
    <w:p>
      <w:pPr>
        <w:pStyle w:val="ListBullet"/>
        <w:spacing w:before="0" w:after="60" w:line="276" w:lineRule="auto"/>
      </w:pPr>
      <w:r>
        <w:rPr>
          <w:rFonts w:ascii="Arial" w:hAnsi="Arial" w:cs="Arial" w:eastAsia="Arial"/>
          <w:b w:val="0"/>
          <w:i w:val="0"/>
          <w:sz w:val="21"/>
        </w:rPr>
        <w:t>The version, dates and approval are filled in, and it is saved where the people who need it can find it.</w:t>
      </w:r>
    </w:p>
    <w:p>
      <w:pPr>
        <w:spacing w:before="200" w:after="120" w:line="276" w:lineRule="auto"/>
      </w:pPr>
      <w:r>
        <w:rPr>
          <w:rFonts w:ascii="Arial" w:hAnsi="Arial" w:cs="Arial" w:eastAsia="Arial"/>
          <w:b w:val="0"/>
          <w:i w:val="0"/>
          <w:color w:val="5B6678"/>
          <w:sz w:val="21"/>
        </w:rPr>
        <w:t>These templates are a starting point. They are not legal advice and do not by themselves make an organisation compliant with ISO/IEC 27001 or any law.</w:t>
      </w:r>
    </w:p>
    <w:p>
      <w:r>
        <w:br w:type="page"/>
      </w:r>
    </w:p>
    <w:p>
      <w:pPr>
        <w:spacing w:before="0" w:after="80" w:line="240" w:lineRule="auto"/>
      </w:pPr>
      <w:r>
        <w:rPr>
          <w:rFonts w:ascii="Arial" w:hAnsi="Arial" w:cs="Arial" w:eastAsia="Arial"/>
          <w:b/>
          <w:i w:val="0"/>
          <w:color w:val="1B253B"/>
          <w:sz w:val="44"/>
        </w:rPr>
        <w:t>HR Security Handbook</w:t>
      </w:r>
    </w:p>
    <w:p>
      <w:pPr>
        <w:spacing w:before="0" w:after="200" w:line="276" w:lineRule="auto"/>
      </w:pPr>
      <w:r>
        <w:rPr>
          <w:rFonts w:ascii="Arial" w:hAnsi="Arial" w:cs="Arial" w:eastAsia="Arial"/>
          <w:b w:val="0"/>
          <w:i w:val="0"/>
          <w:color w:val="5B6678"/>
          <w:sz w:val="21"/>
        </w:rPr>
        <w:t>Security through the employment lifecycle: before hiring, during employment, and when someone leaves.</w:t>
      </w:r>
    </w:p>
    <w:tbl>
      <w:tblPr>
        <w:tblStyle w:val="TableGrid"/>
        <w:tblW w:type="auto" w:w="0"/>
        <w:tblLayout w:type="fixed"/>
        <w:tblLook w:firstColumn="1" w:firstRow="1" w:lastColumn="0" w:lastRow="0" w:noHBand="0" w:noVBand="1" w:val="04A0"/>
      </w:tblPr>
      <w:tblGrid>
        <w:gridCol w:w="4592"/>
        <w:gridCol w:w="4592"/>
      </w:tblGrid>
      <w:tr>
        <w:trPr>
          <w:tblHeader w:val="true"/>
        </w:trPr>
        <w:tc>
          <w:tcPr>
            <w:tcW w:type="dxa" w:w="3402"/>
            <w:shd w:val="clear" w:color="auto" w:fill="DCE6F5"/>
          </w:tcPr>
          <w:p>
            <w:pPr>
              <w:spacing w:before="40" w:after="40" w:line="240" w:lineRule="auto"/>
            </w:pPr>
            <w:r>
              <w:rPr>
                <w:rFonts w:ascii="Arial" w:hAnsi="Arial" w:cs="Arial" w:eastAsia="Arial"/>
                <w:b/>
                <w:i w:val="0"/>
                <w:color w:val="1B253B"/>
                <w:sz w:val="18"/>
              </w:rPr>
              <w:t>Document information</w:t>
            </w:r>
          </w:p>
        </w:tc>
        <w:tc>
          <w:tcPr>
            <w:tcW w:type="dxa" w:w="6350"/>
            <w:shd w:val="clear" w:color="auto" w:fill="DCE6F5"/>
          </w:tcPr>
          <w:p>
            <w:pPr>
              <w:spacing w:before="40" w:after="40" w:line="240" w:lineRule="auto"/>
            </w:pPr>
          </w:p>
        </w:tc>
      </w:tr>
      <w:tr>
        <w:trPr>
          <w:cantSplit w:val="true"/>
        </w:trPr>
        <w:tc>
          <w:tcPr>
            <w:tcW w:type="dxa" w:w="3402"/>
          </w:tcPr>
          <w:p>
            <w:pPr>
              <w:spacing w:before="40" w:after="40" w:line="240" w:lineRule="auto"/>
            </w:pPr>
            <w:r>
              <w:rPr>
                <w:rFonts w:ascii="Arial" w:hAnsi="Arial" w:cs="Arial" w:eastAsia="Arial"/>
                <w:b w:val="0"/>
                <w:i w:val="0"/>
                <w:sz w:val="18"/>
              </w:rPr>
              <w:t>Document ID</w:t>
            </w:r>
          </w:p>
        </w:tc>
        <w:tc>
          <w:tcPr>
            <w:tcW w:type="dxa" w:w="6350"/>
          </w:tcPr>
          <w:p>
            <w:pPr>
              <w:spacing w:before="40" w:after="40" w:line="240" w:lineRule="auto"/>
            </w:pPr>
            <w:r>
              <w:rPr>
                <w:rFonts w:ascii="Arial" w:hAnsi="Arial" w:cs="Arial" w:eastAsia="Arial"/>
                <w:b w:val="0"/>
                <w:i w:val="0"/>
                <w:sz w:val="18"/>
              </w:rPr>
              <w:t>POL-03</w:t>
            </w:r>
          </w:p>
        </w:tc>
      </w:tr>
      <w:tr>
        <w:trPr>
          <w:cantSplit w:val="true"/>
        </w:trPr>
        <w:tc>
          <w:tcPr>
            <w:tcW w:type="dxa" w:w="3402"/>
          </w:tcPr>
          <w:p>
            <w:pPr>
              <w:spacing w:before="40" w:after="40" w:line="240" w:lineRule="auto"/>
            </w:pPr>
            <w:r>
              <w:rPr>
                <w:rFonts w:ascii="Arial" w:hAnsi="Arial" w:cs="Arial" w:eastAsia="Arial"/>
                <w:b w:val="0"/>
                <w:i w:val="0"/>
                <w:sz w:val="18"/>
              </w:rPr>
              <w:t>Version</w:t>
            </w:r>
          </w:p>
        </w:tc>
        <w:tc>
          <w:tcPr>
            <w:tcW w:type="dxa" w:w="6350"/>
          </w:tcPr>
          <w:p>
            <w:pPr>
              <w:spacing w:before="40" w:after="40" w:line="240" w:lineRule="auto"/>
            </w:pPr>
            <w:r>
              <w:rPr>
                <w:rFonts w:ascii="Arial" w:hAnsi="Arial" w:cs="Arial" w:eastAsia="Arial"/>
                <w:b w:val="0"/>
                <w:i w:val="0"/>
                <w:sz w:val="18"/>
              </w:rPr>
              <w:t>0.1</w:t>
            </w:r>
          </w:p>
        </w:tc>
      </w:tr>
      <w:tr>
        <w:trPr>
          <w:cantSplit w:val="true"/>
        </w:trPr>
        <w:tc>
          <w:tcPr>
            <w:tcW w:type="dxa" w:w="3402"/>
          </w:tcPr>
          <w:p>
            <w:pPr>
              <w:spacing w:before="40" w:after="40" w:line="240" w:lineRule="auto"/>
            </w:pPr>
            <w:r>
              <w:rPr>
                <w:rFonts w:ascii="Arial" w:hAnsi="Arial" w:cs="Arial" w:eastAsia="Arial"/>
                <w:b w:val="0"/>
                <w:i w:val="0"/>
                <w:sz w:val="18"/>
              </w:rPr>
              <w:t>Status</w:t>
            </w:r>
          </w:p>
        </w:tc>
        <w:tc>
          <w:tcPr>
            <w:tcW w:type="dxa" w:w="6350"/>
          </w:tcPr>
          <w:p>
            <w:pPr>
              <w:spacing w:before="40" w:after="40" w:line="240" w:lineRule="auto"/>
            </w:pPr>
            <w:r>
              <w:rPr>
                <w:rFonts w:ascii="Arial" w:hAnsi="Arial" w:cs="Arial" w:eastAsia="Arial"/>
                <w:b w:val="0"/>
                <w:i w:val="0"/>
                <w:sz w:val="18"/>
              </w:rPr>
              <w:t>Draft</w:t>
            </w:r>
          </w:p>
        </w:tc>
      </w:tr>
      <w:tr>
        <w:trPr>
          <w:cantSplit w:val="true"/>
        </w:trPr>
        <w:tc>
          <w:tcPr>
            <w:tcW w:type="dxa" w:w="3402"/>
          </w:tcPr>
          <w:p>
            <w:pPr>
              <w:spacing w:before="40" w:after="40" w:line="240" w:lineRule="auto"/>
            </w:pPr>
            <w:r>
              <w:rPr>
                <w:rFonts w:ascii="Arial" w:hAnsi="Arial" w:cs="Arial" w:eastAsia="Arial"/>
                <w:b w:val="0"/>
                <w:i w:val="0"/>
                <w:sz w:val="18"/>
              </w:rPr>
              <w:t>Owner</w:t>
            </w:r>
          </w:p>
        </w:tc>
        <w:tc>
          <w:tcPr>
            <w:tcW w:type="dxa" w:w="6350"/>
          </w:tcPr>
          <w:p>
            <w:pPr>
              <w:spacing w:before="40" w:after="40" w:line="240" w:lineRule="auto"/>
            </w:pPr>
            <w:sdt>
              <w:sdtPr>
                <w:alias w:val="HR role title"/>
                <w:tag w:val="$owner"/>
              </w:sdtPr>
              <w:sdtContent>
                <w:r>
                  <w:rPr>
                    <w:rFonts w:ascii="Arial" w:hAnsi="Arial" w:cs="Arial" w:eastAsia="Arial"/>
                    <w:b w:val="0"/>
                    <w:i w:val="0"/>
                    <w:sz w:val="18"/>
                    <w:highlight w:val="yellow"/>
                  </w:rPr>
                  <w:t>&lt;HR role title&gt;</w:t>
                </w:r>
              </w:sdtContent>
            </w:sdt>
          </w:p>
        </w:tc>
      </w:tr>
      <w:tr>
        <w:trPr>
          <w:cantSplit w:val="true"/>
        </w:trPr>
        <w:tc>
          <w:tcPr>
            <w:tcW w:type="dxa" w:w="3402"/>
          </w:tcPr>
          <w:p>
            <w:pPr>
              <w:spacing w:before="40" w:after="40" w:line="240" w:lineRule="auto"/>
            </w:pPr>
            <w:r>
              <w:rPr>
                <w:rFonts w:ascii="Arial" w:hAnsi="Arial" w:cs="Arial" w:eastAsia="Arial"/>
                <w:b w:val="0"/>
                <w:i w:val="0"/>
                <w:sz w:val="18"/>
              </w:rPr>
              <w:t>Approver</w:t>
            </w:r>
          </w:p>
        </w:tc>
        <w:tc>
          <w:tcPr>
            <w:tcW w:type="dxa" w:w="6350"/>
          </w:tcPr>
          <w:p>
            <w:pPr>
              <w:spacing w:before="40" w:after="40" w:line="240" w:lineRule="auto"/>
            </w:pPr>
            <w:sdt>
              <w:sdtPr>
                <w:alias w:val="role title"/>
                <w:tag w:val="$approver"/>
              </w:sdtPr>
              <w:sdtContent>
                <w:r>
                  <w:rPr>
                    <w:rFonts w:ascii="Arial" w:hAnsi="Arial" w:cs="Arial" w:eastAsia="Arial"/>
                    <w:b w:val="0"/>
                    <w:i w:val="0"/>
                    <w:sz w:val="18"/>
                    <w:highlight w:val="yellow"/>
                  </w:rPr>
                  <w:t>&lt;role title&gt;</w:t>
                </w:r>
              </w:sdtContent>
            </w:sdt>
          </w:p>
        </w:tc>
      </w:tr>
      <w:tr>
        <w:trPr>
          <w:cantSplit w:val="true"/>
        </w:trPr>
        <w:tc>
          <w:tcPr>
            <w:tcW w:type="dxa" w:w="3402"/>
          </w:tcPr>
          <w:p>
            <w:pPr>
              <w:spacing w:before="40" w:after="40" w:line="240" w:lineRule="auto"/>
            </w:pPr>
            <w:r>
              <w:rPr>
                <w:rFonts w:ascii="Arial" w:hAnsi="Arial" w:cs="Arial" w:eastAsia="Arial"/>
                <w:b w:val="0"/>
                <w:i w:val="0"/>
                <w:sz w:val="18"/>
              </w:rPr>
              <w:t>Classification</w:t>
            </w:r>
          </w:p>
        </w:tc>
        <w:tc>
          <w:tcPr>
            <w:tcW w:type="dxa" w:w="6350"/>
          </w:tcPr>
          <w:p>
            <w:pPr>
              <w:spacing w:before="40" w:after="40" w:line="240" w:lineRule="auto"/>
            </w:pPr>
            <w:r>
              <w:rPr>
                <w:rFonts w:ascii="Arial" w:hAnsi="Arial" w:cs="Arial" w:eastAsia="Arial"/>
                <w:b w:val="0"/>
                <w:i w:val="0"/>
                <w:sz w:val="18"/>
              </w:rPr>
              <w:t>Internal</w:t>
            </w:r>
          </w:p>
        </w:tc>
      </w:tr>
      <w:tr>
        <w:trPr>
          <w:cantSplit w:val="true"/>
        </w:trPr>
        <w:tc>
          <w:tcPr>
            <w:tcW w:type="dxa" w:w="3402"/>
          </w:tcPr>
          <w:p>
            <w:pPr>
              <w:spacing w:before="40" w:after="40" w:line="240" w:lineRule="auto"/>
            </w:pPr>
            <w:r>
              <w:rPr>
                <w:rFonts w:ascii="Arial" w:hAnsi="Arial" w:cs="Arial" w:eastAsia="Arial"/>
                <w:b w:val="0"/>
                <w:i w:val="0"/>
                <w:sz w:val="18"/>
              </w:rPr>
              <w:t>Effective date</w:t>
            </w:r>
          </w:p>
        </w:tc>
        <w:tc>
          <w:tcPr>
            <w:tcW w:type="dxa" w:w="6350"/>
          </w:tcPr>
          <w:p>
            <w:pPr>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3402"/>
          </w:tcPr>
          <w:p>
            <w:pPr>
              <w:spacing w:before="40" w:after="40" w:line="240" w:lineRule="auto"/>
            </w:pPr>
            <w:r>
              <w:rPr>
                <w:rFonts w:ascii="Arial" w:hAnsi="Arial" w:cs="Arial" w:eastAsia="Arial"/>
                <w:b w:val="0"/>
                <w:i w:val="0"/>
                <w:sz w:val="18"/>
              </w:rPr>
              <w:t>Next review</w:t>
            </w:r>
          </w:p>
        </w:tc>
        <w:tc>
          <w:tcPr>
            <w:tcW w:type="dxa" w:w="6350"/>
          </w:tcPr>
          <w:p>
            <w:pPr>
              <w:spacing w:before="40" w:after="40" w:line="240" w:lineRule="auto"/>
            </w:pPr>
            <w:sdt>
              <w:sdtPr>
                <w:alias w:val="date"/>
                <w:tag w:val="$next_review"/>
              </w:sdtPr>
              <w:sdtContent>
                <w:r>
                  <w:rPr>
                    <w:rFonts w:ascii="Arial" w:hAnsi="Arial" w:cs="Arial" w:eastAsia="Arial"/>
                    <w:b w:val="0"/>
                    <w:i w:val="0"/>
                    <w:sz w:val="18"/>
                    <w:highlight w:val="yellow"/>
                  </w:rPr>
                  <w:t>&lt;date&gt;</w:t>
                </w:r>
              </w:sdtContent>
            </w:sdt>
          </w:p>
        </w:tc>
      </w:tr>
    </w:tbl>
    <w:p>
      <w:pPr>
        <w:spacing w:after="80"/>
      </w:pPr>
    </w:p>
    <w:tbl>
      <w:tblPr>
        <w:tblStyle w:val="TableGrid"/>
        <w:tblW w:type="auto" w:w="0"/>
        <w:tblLayout w:type="fixed"/>
        <w:tblLook w:firstColumn="1" w:firstRow="1" w:lastColumn="0" w:lastRow="0" w:noHBand="0" w:noVBand="1" w:val="04A0"/>
      </w:tblPr>
      <w:tblGrid>
        <w:gridCol w:w="1837"/>
        <w:gridCol w:w="1837"/>
        <w:gridCol w:w="1837"/>
        <w:gridCol w:w="1837"/>
        <w:gridCol w:w="1837"/>
      </w:tblGrid>
      <w:tr>
        <w:trPr>
          <w:tblHeader w:val="true"/>
        </w:trPr>
        <w:tc>
          <w:tcPr>
            <w:tcW w:type="dxa" w:w="1134"/>
            <w:shd w:val="clear" w:color="auto" w:fill="DCE6F5"/>
          </w:tcPr>
          <w:p>
            <w:pPr>
              <w:spacing w:before="40" w:after="40" w:line="240" w:lineRule="auto"/>
            </w:pPr>
            <w:r>
              <w:rPr>
                <w:rFonts w:ascii="Arial" w:hAnsi="Arial" w:cs="Arial" w:eastAsia="Arial"/>
                <w:b/>
                <w:i w:val="0"/>
                <w:color w:val="1B253B"/>
                <w:sz w:val="18"/>
              </w:rPr>
              <w:t>Version</w:t>
            </w:r>
          </w:p>
        </w:tc>
        <w:tc>
          <w:tcPr>
            <w:tcW w:type="dxa" w:w="1474"/>
            <w:shd w:val="clear" w:color="auto" w:fill="DCE6F5"/>
          </w:tcPr>
          <w:p>
            <w:pPr>
              <w:spacing w:before="40" w:after="40" w:line="240" w:lineRule="auto"/>
            </w:pPr>
            <w:r>
              <w:rPr>
                <w:rFonts w:ascii="Arial" w:hAnsi="Arial" w:cs="Arial" w:eastAsia="Arial"/>
                <w:b/>
                <w:i w:val="0"/>
                <w:color w:val="1B253B"/>
                <w:sz w:val="18"/>
              </w:rPr>
              <w:t>Date</w:t>
            </w:r>
          </w:p>
        </w:tc>
        <w:tc>
          <w:tcPr>
            <w:tcW w:type="dxa" w:w="1814"/>
            <w:shd w:val="clear" w:color="auto" w:fill="DCE6F5"/>
          </w:tcPr>
          <w:p>
            <w:pPr>
              <w:spacing w:before="40" w:after="40" w:line="240" w:lineRule="auto"/>
            </w:pPr>
            <w:r>
              <w:rPr>
                <w:rFonts w:ascii="Arial" w:hAnsi="Arial" w:cs="Arial" w:eastAsia="Arial"/>
                <w:b/>
                <w:i w:val="0"/>
                <w:color w:val="1B253B"/>
                <w:sz w:val="18"/>
              </w:rPr>
              <w:t>Author</w:t>
            </w:r>
          </w:p>
        </w:tc>
        <w:tc>
          <w:tcPr>
            <w:tcW w:type="dxa" w:w="1928"/>
            <w:shd w:val="clear" w:color="auto" w:fill="DCE6F5"/>
          </w:tcPr>
          <w:p>
            <w:pPr>
              <w:spacing w:before="40" w:after="40" w:line="240" w:lineRule="auto"/>
            </w:pPr>
            <w:r>
              <w:rPr>
                <w:rFonts w:ascii="Arial" w:hAnsi="Arial" w:cs="Arial" w:eastAsia="Arial"/>
                <w:b/>
                <w:i w:val="0"/>
                <w:color w:val="1B253B"/>
                <w:sz w:val="18"/>
              </w:rPr>
              <w:t>Approved by</w:t>
            </w:r>
          </w:p>
        </w:tc>
        <w:tc>
          <w:tcPr>
            <w:tcW w:type="dxa" w:w="3402"/>
            <w:shd w:val="clear" w:color="auto" w:fill="DCE6F5"/>
          </w:tcPr>
          <w:p>
            <w:pPr>
              <w:spacing w:before="40" w:after="40" w:line="240" w:lineRule="auto"/>
            </w:pPr>
            <w:r>
              <w:rPr>
                <w:rFonts w:ascii="Arial" w:hAnsi="Arial" w:cs="Arial" w:eastAsia="Arial"/>
                <w:b/>
                <w:i w:val="0"/>
                <w:color w:val="1B253B"/>
                <w:sz w:val="18"/>
              </w:rPr>
              <w:t>What changed</w:t>
            </w:r>
          </w:p>
        </w:tc>
      </w:tr>
      <w:tr>
        <w:trPr>
          <w:cantSplit w:val="true"/>
        </w:trPr>
        <w:tc>
          <w:tcPr>
            <w:tcW w:type="dxa" w:w="1134"/>
          </w:tcPr>
          <w:p>
            <w:pPr>
              <w:spacing w:before="40" w:after="40" w:line="240" w:lineRule="auto"/>
            </w:pPr>
            <w:r>
              <w:rPr>
                <w:rFonts w:ascii="Arial" w:hAnsi="Arial" w:cs="Arial" w:eastAsia="Arial"/>
                <w:b w:val="0"/>
                <w:i w:val="0"/>
                <w:sz w:val="18"/>
              </w:rPr>
              <w:t>0.1</w:t>
            </w:r>
          </w:p>
        </w:tc>
        <w:tc>
          <w:tcPr>
            <w:tcW w:type="dxa" w:w="1474"/>
          </w:tcPr>
          <w:p>
            <w:pPr>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1814"/>
          </w:tcPr>
          <w:p>
            <w:pPr>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1928"/>
          </w:tcPr>
          <w:p>
            <w:pPr>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3402"/>
          </w:tcPr>
          <w:p>
            <w:pPr>
              <w:spacing w:before="40" w:after="40" w:line="240" w:lineRule="auto"/>
            </w:pPr>
            <w:r>
              <w:rPr>
                <w:rFonts w:ascii="Arial" w:hAnsi="Arial" w:cs="Arial" w:eastAsia="Arial"/>
                <w:b w:val="0"/>
                <w:i w:val="0"/>
                <w:sz w:val="18"/>
              </w:rPr>
              <w:t>First draft from the template</w:t>
            </w:r>
          </w:p>
        </w:tc>
      </w:tr>
    </w:tbl>
    <w:p>
      <w:pPr>
        <w:spacing w:after="80"/>
      </w:pPr>
    </w:p>
    <w:p>
      <w:pPr>
        <w:keepNext/>
        <w:spacing w:before="280" w:after="120" w:line="264" w:lineRule="auto"/>
      </w:pPr>
      <w:r>
        <w:rPr>
          <w:rFonts w:ascii="Arial" w:hAnsi="Arial" w:cs="Arial" w:eastAsia="Arial"/>
          <w:b/>
          <w:i w:val="0"/>
          <w:color w:val="1B253B"/>
          <w:sz w:val="28"/>
        </w:rPr>
        <w:t>1. Purpose</w:t>
      </w:r>
    </w:p>
    <w:p>
      <w:pPr>
        <w:spacing w:before="0" w:after="120" w:line="276" w:lineRule="auto"/>
      </w:pPr>
      <w:r>
        <w:rPr>
          <w:rFonts w:ascii="Arial" w:hAnsi="Arial" w:cs="Arial" w:eastAsia="Arial"/>
          <w:b w:val="0"/>
          <w:i w:val="0"/>
          <w:sz w:val="21"/>
        </w:rPr>
        <w:t xml:space="preserve">This handbook sets the security rules for people at every stage of employment at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before they join, while they work here, when their role changes, and when they leave.</w:t>
      </w:r>
    </w:p>
    <w:p>
      <w:pPr>
        <w:keepNext/>
        <w:spacing w:before="280" w:after="120" w:line="264" w:lineRule="auto"/>
      </w:pPr>
      <w:r>
        <w:rPr>
          <w:rFonts w:ascii="Arial" w:hAnsi="Arial" w:cs="Arial" w:eastAsia="Arial"/>
          <w:b/>
          <w:i w:val="0"/>
          <w:color w:val="1B253B"/>
          <w:sz w:val="28"/>
        </w:rPr>
        <w:t>2. Before employment</w:t>
      </w:r>
    </w:p>
    <w:p>
      <w:pPr>
        <w:pStyle w:val="ListBullet"/>
        <w:spacing w:before="0" w:after="60" w:line="276" w:lineRule="auto"/>
      </w:pPr>
      <w:r>
        <w:rPr>
          <w:rFonts w:ascii="Arial" w:hAnsi="Arial" w:cs="Arial" w:eastAsia="Arial"/>
          <w:b/>
          <w:i w:val="0"/>
          <w:sz w:val="21"/>
        </w:rPr>
        <w:t>Screening.</w:t>
      </w:r>
      <w:r>
        <w:rPr>
          <w:rFonts w:ascii="Arial" w:hAnsi="Arial" w:cs="Arial" w:eastAsia="Arial"/>
          <w:b w:val="0"/>
          <w:i w:val="0"/>
          <w:sz w:val="21"/>
        </w:rPr>
        <w:t xml:space="preserve"> Background and reference checks are done before access is given, in proportion to the role. Roles with privileged or financial access get more checks, as far as </w:t>
      </w:r>
      <w:sdt>
        <w:sdtPr>
          <w:alias w:val="the applicable law"/>
          <w:tag w:val="P3.b1"/>
        </w:sdtPr>
        <w:sdtContent>
          <w:r>
            <w:rPr>
              <w:rFonts w:ascii="Arial" w:hAnsi="Arial" w:cs="Arial" w:eastAsia="Arial"/>
              <w:b w:val="0"/>
              <w:i w:val="0"/>
              <w:sz w:val="21"/>
              <w:highlight w:val="yellow"/>
            </w:rPr>
            <w:t>&lt;the applicable law&gt;</w:t>
          </w:r>
        </w:sdtContent>
      </w:sdt>
      <w:r>
        <w:rPr>
          <w:rFonts w:ascii="Arial" w:hAnsi="Arial" w:cs="Arial" w:eastAsia="Arial"/>
          <w:b w:val="0"/>
          <w:i w:val="0"/>
          <w:sz w:val="21"/>
        </w:rPr>
        <w:t xml:space="preserve"> allows.</w:t>
      </w:r>
    </w:p>
    <w:p>
      <w:pPr>
        <w:pStyle w:val="ListBullet"/>
        <w:spacing w:before="0" w:after="60" w:line="276" w:lineRule="auto"/>
      </w:pPr>
      <w:r>
        <w:rPr>
          <w:rFonts w:ascii="Arial" w:hAnsi="Arial" w:cs="Arial" w:eastAsia="Arial"/>
          <w:b/>
          <w:i w:val="0"/>
          <w:sz w:val="21"/>
        </w:rPr>
        <w:t>Terms of employment.</w:t>
      </w:r>
      <w:r>
        <w:rPr>
          <w:rFonts w:ascii="Arial" w:hAnsi="Arial" w:cs="Arial" w:eastAsia="Arial"/>
          <w:b w:val="0"/>
          <w:i w:val="0"/>
          <w:sz w:val="21"/>
        </w:rPr>
        <w:t xml:space="preserve"> Contracts say what the person must do to protect information, including duties that continue after they leave.</w:t>
      </w:r>
    </w:p>
    <w:p>
      <w:pPr>
        <w:pStyle w:val="ListBullet"/>
        <w:spacing w:before="0" w:after="60" w:line="276" w:lineRule="auto"/>
      </w:pPr>
      <w:r>
        <w:rPr>
          <w:rFonts w:ascii="Arial" w:hAnsi="Arial" w:cs="Arial" w:eastAsia="Arial"/>
          <w:b/>
          <w:i w:val="0"/>
          <w:sz w:val="21"/>
        </w:rPr>
        <w:t>Confidentiality.</w:t>
      </w:r>
      <w:r>
        <w:rPr>
          <w:rFonts w:ascii="Arial" w:hAnsi="Arial" w:cs="Arial" w:eastAsia="Arial"/>
          <w:b w:val="0"/>
          <w:i w:val="0"/>
          <w:sz w:val="21"/>
        </w:rPr>
        <w:t xml:space="preserve"> Everybody signs a confidentiality agreement before they get access to company information.</w:t>
      </w:r>
    </w:p>
    <w:p>
      <w:pPr>
        <w:keepNext/>
        <w:spacing w:before="280" w:after="120" w:line="264" w:lineRule="auto"/>
      </w:pPr>
      <w:r>
        <w:rPr>
          <w:rFonts w:ascii="Arial" w:hAnsi="Arial" w:cs="Arial" w:eastAsia="Arial"/>
          <w:b/>
          <w:i w:val="0"/>
          <w:color w:val="1B253B"/>
          <w:sz w:val="28"/>
        </w:rPr>
        <w:t>3. During employment</w:t>
      </w:r>
    </w:p>
    <w:p>
      <w:pPr>
        <w:pStyle w:val="ListBullet"/>
        <w:spacing w:before="0" w:after="60" w:line="276" w:lineRule="auto"/>
      </w:pPr>
      <w:r>
        <w:rPr>
          <w:rFonts w:ascii="Arial" w:hAnsi="Arial" w:cs="Arial" w:eastAsia="Arial"/>
          <w:b/>
          <w:i w:val="0"/>
          <w:sz w:val="21"/>
        </w:rPr>
        <w:t>Induction.</w:t>
      </w:r>
      <w:r>
        <w:rPr>
          <w:rFonts w:ascii="Arial" w:hAnsi="Arial" w:cs="Arial" w:eastAsia="Arial"/>
          <w:b w:val="0"/>
          <w:i w:val="0"/>
          <w:sz w:val="21"/>
        </w:rPr>
        <w:t xml:space="preserve"> Everybody completes security awareness training in their first </w:t>
      </w:r>
      <w:sdt>
        <w:sdtPr>
          <w:alias w:val="number"/>
          <w:tag w:val="P3.b2"/>
        </w:sdtPr>
        <w:sdtContent>
          <w:r>
            <w:rPr>
              <w:rFonts w:ascii="Arial" w:hAnsi="Arial" w:cs="Arial" w:eastAsia="Arial"/>
              <w:b w:val="0"/>
              <w:i w:val="0"/>
              <w:sz w:val="21"/>
              <w:highlight w:val="yellow"/>
            </w:rPr>
            <w:t>&lt;number&gt;</w:t>
          </w:r>
        </w:sdtContent>
      </w:sdt>
      <w:r>
        <w:rPr>
          <w:rFonts w:ascii="Arial" w:hAnsi="Arial" w:cs="Arial" w:eastAsia="Arial"/>
          <w:b w:val="0"/>
          <w:i w:val="0"/>
          <w:sz w:val="21"/>
        </w:rPr>
        <w:t xml:space="preserve"> days, and again at least once a year. Completion is recorded.</w:t>
      </w:r>
    </w:p>
    <w:p>
      <w:pPr>
        <w:pStyle w:val="ListBullet"/>
        <w:spacing w:before="0" w:after="60" w:line="276" w:lineRule="auto"/>
      </w:pPr>
      <w:r>
        <w:rPr>
          <w:rFonts w:ascii="Arial" w:hAnsi="Arial" w:cs="Arial" w:eastAsia="Arial"/>
          <w:b/>
          <w:i w:val="0"/>
          <w:sz w:val="21"/>
        </w:rPr>
        <w:t>Competence.</w:t>
      </w:r>
      <w:r>
        <w:rPr>
          <w:rFonts w:ascii="Arial" w:hAnsi="Arial" w:cs="Arial" w:eastAsia="Arial"/>
          <w:b w:val="0"/>
          <w:i w:val="0"/>
          <w:sz w:val="21"/>
        </w:rPr>
        <w:t xml:space="preserve"> Managers make sure their people have the skills their security duties need. Gaps are closed with training, and the records are kept.</w:t>
      </w:r>
    </w:p>
    <w:p>
      <w:pPr>
        <w:pStyle w:val="ListBullet"/>
        <w:spacing w:before="0" w:after="60" w:line="276" w:lineRule="auto"/>
      </w:pPr>
      <w:r>
        <w:rPr>
          <w:rFonts w:ascii="Arial" w:hAnsi="Arial" w:cs="Arial" w:eastAsia="Arial"/>
          <w:b/>
          <w:i w:val="0"/>
          <w:sz w:val="21"/>
        </w:rPr>
        <w:t>Rules.</w:t>
      </w:r>
      <w:r>
        <w:rPr>
          <w:rFonts w:ascii="Arial" w:hAnsi="Arial" w:cs="Arial" w:eastAsia="Arial"/>
          <w:b w:val="0"/>
          <w:i w:val="0"/>
          <w:sz w:val="21"/>
        </w:rPr>
        <w:t xml:space="preserve"> Everybody follows the Acceptable Use Policy (POL-02) and reports suspected incidents straight away.</w:t>
      </w:r>
    </w:p>
    <w:p>
      <w:pPr>
        <w:keepNext/>
        <w:spacing w:before="280" w:after="120" w:line="264" w:lineRule="auto"/>
      </w:pPr>
      <w:r>
        <w:rPr>
          <w:rFonts w:ascii="Arial" w:hAnsi="Arial" w:cs="Arial" w:eastAsia="Arial"/>
          <w:b/>
          <w:i w:val="0"/>
          <w:color w:val="1B253B"/>
          <w:sz w:val="28"/>
        </w:rPr>
        <w:t>4. Disciplinary process</w:t>
      </w:r>
    </w:p>
    <w:p>
      <w:pPr>
        <w:spacing w:before="0" w:after="120" w:line="276" w:lineRule="auto"/>
      </w:pPr>
      <w:r>
        <w:rPr>
          <w:rFonts w:ascii="Arial" w:hAnsi="Arial" w:cs="Arial" w:eastAsia="Arial"/>
          <w:b w:val="0"/>
          <w:i w:val="0"/>
          <w:sz w:val="21"/>
        </w:rPr>
        <w:t xml:space="preserve">Breaking a security rule is dealt with through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's disciplinary process, which is fair, written down and known to all staff. The outcome is in proportion to how serious the breach was and whether it was deliberate. It can range from retraining to dismissal and legal action.</w:t>
      </w:r>
    </w:p>
    <w:p>
      <w:pPr>
        <w:keepNext/>
        <w:spacing w:before="280" w:after="120" w:line="264" w:lineRule="auto"/>
      </w:pPr>
      <w:r>
        <w:rPr>
          <w:rFonts w:ascii="Arial" w:hAnsi="Arial" w:cs="Arial" w:eastAsia="Arial"/>
          <w:b/>
          <w:i w:val="0"/>
          <w:color w:val="1B253B"/>
          <w:sz w:val="28"/>
        </w:rPr>
        <w:t>5. Changing role or leaving</w:t>
      </w:r>
    </w:p>
    <w:p>
      <w:pPr>
        <w:spacing w:before="0" w:after="60" w:line="276" w:lineRule="auto"/>
        <w:ind w:left="510" w:hanging="397"/>
      </w:pPr>
      <w:r>
        <w:rPr>
          <w:rFonts w:ascii="Arial" w:hAnsi="Arial" w:cs="Arial" w:eastAsia="Arial"/>
          <w:b w:val="0"/>
          <w:i w:val="0"/>
          <w:sz w:val="21"/>
        </w:rPr>
        <w:t xml:space="preserve">1.  </w:t>
      </w:r>
      <w:r>
        <w:rPr>
          <w:rFonts w:ascii="Arial" w:hAnsi="Arial" w:cs="Arial" w:eastAsia="Arial"/>
          <w:b/>
          <w:i w:val="0"/>
          <w:sz w:val="21"/>
        </w:rPr>
        <w:t>Tell IT.</w:t>
      </w:r>
      <w:r>
        <w:rPr>
          <w:rFonts w:ascii="Arial" w:hAnsi="Arial" w:cs="Arial" w:eastAsia="Arial"/>
          <w:b w:val="0"/>
          <w:i w:val="0"/>
          <w:sz w:val="21"/>
        </w:rPr>
        <w:t xml:space="preserve"> The manager tells </w:t>
      </w:r>
      <w:sdt>
        <w:sdtPr>
          <w:alias w:val="IT contact or mailbox"/>
          <w:tag w:val="security_contact"/>
        </w:sdtPr>
        <w:sdtContent>
          <w:r>
            <w:rPr>
              <w:rFonts w:ascii="Arial" w:hAnsi="Arial" w:cs="Arial" w:eastAsia="Arial"/>
              <w:b w:val="0"/>
              <w:i w:val="0"/>
              <w:sz w:val="21"/>
              <w:highlight w:val="yellow"/>
            </w:rPr>
            <w:t>&lt;IT contact or mailbox&gt;</w:t>
          </w:r>
        </w:sdtContent>
      </w:sdt>
      <w:r>
        <w:rPr>
          <w:rFonts w:ascii="Arial" w:hAnsi="Arial" w:cs="Arial" w:eastAsia="Arial"/>
          <w:b w:val="0"/>
          <w:i w:val="0"/>
          <w:sz w:val="21"/>
        </w:rPr>
        <w:t xml:space="preserve"> of the change or the leaving date at least </w:t>
      </w:r>
      <w:sdt>
        <w:sdtPr>
          <w:alias w:val="number"/>
          <w:tag w:val="P3.b3"/>
        </w:sdtPr>
        <w:sdtContent>
          <w:r>
            <w:rPr>
              <w:rFonts w:ascii="Arial" w:hAnsi="Arial" w:cs="Arial" w:eastAsia="Arial"/>
              <w:b w:val="0"/>
              <w:i w:val="0"/>
              <w:sz w:val="21"/>
              <w:highlight w:val="yellow"/>
            </w:rPr>
            <w:t>&lt;number&gt;</w:t>
          </w:r>
        </w:sdtContent>
      </w:sdt>
      <w:r>
        <w:rPr>
          <w:rFonts w:ascii="Arial" w:hAnsi="Arial" w:cs="Arial" w:eastAsia="Arial"/>
          <w:b w:val="0"/>
          <w:i w:val="0"/>
          <w:sz w:val="21"/>
        </w:rPr>
        <w:t xml:space="preserve"> working days ahead.</w:t>
      </w:r>
    </w:p>
    <w:p>
      <w:pPr>
        <w:spacing w:before="0" w:after="60" w:line="276" w:lineRule="auto"/>
        <w:ind w:left="510" w:hanging="397"/>
      </w:pPr>
      <w:r>
        <w:rPr>
          <w:rFonts w:ascii="Arial" w:hAnsi="Arial" w:cs="Arial" w:eastAsia="Arial"/>
          <w:b w:val="0"/>
          <w:i w:val="0"/>
          <w:sz w:val="21"/>
        </w:rPr>
        <w:t xml:space="preserve">2.  </w:t>
      </w:r>
      <w:r>
        <w:rPr>
          <w:rFonts w:ascii="Arial" w:hAnsi="Arial" w:cs="Arial" w:eastAsia="Arial"/>
          <w:b/>
          <w:i w:val="0"/>
          <w:sz w:val="21"/>
        </w:rPr>
        <w:t>Change of role.</w:t>
      </w:r>
      <w:r>
        <w:rPr>
          <w:rFonts w:ascii="Arial" w:hAnsi="Arial" w:cs="Arial" w:eastAsia="Arial"/>
          <w:b w:val="0"/>
          <w:i w:val="0"/>
          <w:sz w:val="21"/>
        </w:rPr>
        <w:t xml:space="preserve"> Access is reviewed and changed to fit the new role on the day it starts. Access from the old role is removed.</w:t>
      </w:r>
    </w:p>
    <w:p>
      <w:pPr>
        <w:spacing w:before="0" w:after="60" w:line="276" w:lineRule="auto"/>
        <w:ind w:left="510" w:hanging="397"/>
      </w:pPr>
      <w:r>
        <w:rPr>
          <w:rFonts w:ascii="Arial" w:hAnsi="Arial" w:cs="Arial" w:eastAsia="Arial"/>
          <w:b w:val="0"/>
          <w:i w:val="0"/>
          <w:sz w:val="21"/>
        </w:rPr>
        <w:t xml:space="preserve">3.  </w:t>
      </w:r>
      <w:r>
        <w:rPr>
          <w:rFonts w:ascii="Arial" w:hAnsi="Arial" w:cs="Arial" w:eastAsia="Arial"/>
          <w:b/>
          <w:i w:val="0"/>
          <w:sz w:val="21"/>
        </w:rPr>
        <w:t>Leaving.</w:t>
      </w:r>
      <w:r>
        <w:rPr>
          <w:rFonts w:ascii="Arial" w:hAnsi="Arial" w:cs="Arial" w:eastAsia="Arial"/>
          <w:b w:val="0"/>
          <w:i w:val="0"/>
          <w:sz w:val="21"/>
        </w:rPr>
        <w:t xml:space="preserve"> All access is removed and all company property is returned (laptop, badge, tokens, files) by the end of the last working day.</w:t>
      </w:r>
    </w:p>
    <w:p>
      <w:pPr>
        <w:spacing w:before="0" w:after="60" w:line="276" w:lineRule="auto"/>
        <w:ind w:left="510" w:hanging="397"/>
      </w:pPr>
      <w:r>
        <w:rPr>
          <w:rFonts w:ascii="Arial" w:hAnsi="Arial" w:cs="Arial" w:eastAsia="Arial"/>
          <w:b w:val="0"/>
          <w:i w:val="0"/>
          <w:sz w:val="21"/>
        </w:rPr>
        <w:t xml:space="preserve">4.  </w:t>
      </w:r>
      <w:r>
        <w:rPr>
          <w:rFonts w:ascii="Arial" w:hAnsi="Arial" w:cs="Arial" w:eastAsia="Arial"/>
          <w:b/>
          <w:i w:val="0"/>
          <w:sz w:val="21"/>
        </w:rPr>
        <w:t>Reminder.</w:t>
      </w:r>
      <w:r>
        <w:rPr>
          <w:rFonts w:ascii="Arial" w:hAnsi="Arial" w:cs="Arial" w:eastAsia="Arial"/>
          <w:b w:val="0"/>
          <w:i w:val="0"/>
          <w:sz w:val="21"/>
        </w:rPr>
        <w:t xml:space="preserve"> At the exit meeting the person is reminded that confidentiality continues after they leave.</w:t>
      </w:r>
    </w:p>
    <w:p>
      <w:pPr>
        <w:spacing w:before="0" w:after="60" w:line="276" w:lineRule="auto"/>
        <w:ind w:left="510" w:hanging="397"/>
      </w:pPr>
      <w:r>
        <w:rPr>
          <w:rFonts w:ascii="Arial" w:hAnsi="Arial" w:cs="Arial" w:eastAsia="Arial"/>
          <w:b w:val="0"/>
          <w:i w:val="0"/>
          <w:sz w:val="21"/>
        </w:rPr>
        <w:t xml:space="preserve">5.  </w:t>
      </w:r>
      <w:r>
        <w:rPr>
          <w:rFonts w:ascii="Arial" w:hAnsi="Arial" w:cs="Arial" w:eastAsia="Arial"/>
          <w:b/>
          <w:i w:val="0"/>
          <w:sz w:val="21"/>
        </w:rPr>
        <w:t>Record.</w:t>
      </w:r>
      <w:r>
        <w:rPr>
          <w:rFonts w:ascii="Arial" w:hAnsi="Arial" w:cs="Arial" w:eastAsia="Arial"/>
          <w:b w:val="0"/>
          <w:i w:val="0"/>
          <w:sz w:val="21"/>
        </w:rPr>
        <w:t xml:space="preserve"> The leaver checklist is completed and kept as a record.</w:t>
      </w:r>
    </w:p>
    <w:p>
      <w:pPr>
        <w:keepNext/>
        <w:spacing w:before="280" w:after="120" w:line="264" w:lineRule="auto"/>
      </w:pPr>
      <w:r>
        <w:rPr>
          <w:rFonts w:ascii="Arial" w:hAnsi="Arial" w:cs="Arial" w:eastAsia="Arial"/>
          <w:b/>
          <w:i w:val="0"/>
          <w:color w:val="1B253B"/>
          <w:sz w:val="28"/>
        </w:rPr>
        <w:t>6. Contractors and temporary staff</w:t>
      </w:r>
    </w:p>
    <w:p>
      <w:pPr>
        <w:spacing w:before="0" w:after="120" w:line="276" w:lineRule="auto"/>
      </w:pPr>
      <w:r>
        <w:rPr>
          <w:rFonts w:ascii="Arial" w:hAnsi="Arial" w:cs="Arial" w:eastAsia="Arial"/>
          <w:b w:val="0"/>
          <w:i w:val="0"/>
          <w:sz w:val="21"/>
        </w:rPr>
        <w:t>The same rules apply to contractors and temporary staff. The contract or agreement with them says so. Their access ends on the contract end date unless it is formally extended.</w:t>
      </w:r>
    </w:p>
    <w:p>
      <w:pPr>
        <w:keepNext/>
        <w:spacing w:before="280" w:after="120" w:line="264" w:lineRule="auto"/>
      </w:pPr>
      <w:r>
        <w:rPr>
          <w:rFonts w:ascii="Arial" w:hAnsi="Arial" w:cs="Arial" w:eastAsia="Arial"/>
          <w:b/>
          <w:i w:val="0"/>
          <w:color w:val="1B253B"/>
          <w:sz w:val="28"/>
        </w:rPr>
        <w:t>7. Records</w:t>
      </w:r>
    </w:p>
    <w:p>
      <w:pPr>
        <w:spacing w:before="0" w:after="120" w:line="276" w:lineRule="auto"/>
      </w:pPr>
      <w:r>
        <w:rPr>
          <w:rFonts w:ascii="Arial" w:hAnsi="Arial" w:cs="Arial" w:eastAsia="Arial"/>
          <w:b w:val="0"/>
          <w:i w:val="0"/>
          <w:sz w:val="21"/>
        </w:rPr>
        <w:t xml:space="preserve">HR keeps: screening results, signed confidentiality agreements, training records, disciplinary records and leaver checklists, for </w:t>
      </w:r>
      <w:sdt>
        <w:sdtPr>
          <w:alias w:val="retention period"/>
          <w:tag w:val="P3.b4"/>
        </w:sdtPr>
        <w:sdtContent>
          <w:r>
            <w:rPr>
              <w:rFonts w:ascii="Arial" w:hAnsi="Arial" w:cs="Arial" w:eastAsia="Arial"/>
              <w:b w:val="0"/>
              <w:i w:val="0"/>
              <w:sz w:val="21"/>
              <w:highlight w:val="yellow"/>
            </w:rPr>
            <w:t>&lt;retention period&gt;</w:t>
          </w:r>
        </w:sdtContent>
      </w:sdt>
      <w:r>
        <w:rPr>
          <w:rFonts w:ascii="Arial" w:hAnsi="Arial" w:cs="Arial" w:eastAsia="Arial"/>
          <w:b w:val="0"/>
          <w:i w:val="0"/>
          <w:sz w:val="21"/>
        </w:rPr>
        <w:t xml:space="preserve"> or as the law requires.</w:t>
      </w:r>
    </w:p>
    <w:p>
      <w:pPr>
        <w:keepNext/>
        <w:spacing w:before="280" w:after="120" w:line="264" w:lineRule="auto"/>
      </w:pPr>
      <w:r>
        <w:rPr>
          <w:rFonts w:ascii="Arial" w:hAnsi="Arial" w:cs="Arial" w:eastAsia="Arial"/>
          <w:b/>
          <w:i w:val="0"/>
          <w:color w:val="1B253B"/>
          <w:sz w:val="28"/>
        </w:rPr>
        <w:t>Where this comes from</w:t>
      </w:r>
    </w:p>
    <w:tbl>
      <w:tblPr>
        <w:tblStyle w:val="TableGrid"/>
        <w:tblW w:type="auto" w:w="0"/>
        <w:tblLayout w:type="fixed"/>
        <w:tblLook w:firstColumn="1" w:firstRow="1" w:lastColumn="0" w:lastRow="0" w:noHBand="0" w:noVBand="1" w:val="04A0"/>
      </w:tblPr>
      <w:tblGrid>
        <w:gridCol w:w="4592"/>
        <w:gridCol w:w="4592"/>
      </w:tblGrid>
      <w:tr>
        <w:trPr>
          <w:tblHeader w:val="true"/>
        </w:trPr>
        <w:tc>
          <w:tcPr>
            <w:tcW w:type="dxa" w:w="2268"/>
            <w:shd w:val="clear" w:color="auto" w:fill="DCE6F5"/>
          </w:tcPr>
          <w:p>
            <w:pPr>
              <w:spacing w:before="40" w:after="40" w:line="240" w:lineRule="auto"/>
            </w:pPr>
            <w:r>
              <w:rPr>
                <w:rFonts w:ascii="Arial" w:hAnsi="Arial" w:cs="Arial" w:eastAsia="Arial"/>
                <w:b/>
                <w:i w:val="0"/>
                <w:color w:val="1B253B"/>
                <w:sz w:val="18"/>
              </w:rPr>
              <w:t>Reference</w:t>
            </w:r>
          </w:p>
        </w:tc>
        <w:tc>
          <w:tcPr>
            <w:tcW w:type="dxa" w:w="7483"/>
            <w:shd w:val="clear" w:color="auto" w:fill="DCE6F5"/>
          </w:tcPr>
          <w:p>
            <w:pPr>
              <w:spacing w:before="40" w:after="40" w:line="240" w:lineRule="auto"/>
            </w:pPr>
            <w:r>
              <w:rPr>
                <w:rFonts w:ascii="Arial" w:hAnsi="Arial" w:cs="Arial" w:eastAsia="Arial"/>
                <w:b/>
                <w:i w:val="0"/>
                <w:color w:val="1B253B"/>
                <w:sz w:val="18"/>
              </w:rPr>
              <w:t>Requirement addressed</w:t>
            </w:r>
          </w:p>
        </w:tc>
      </w:tr>
      <w:tr>
        <w:trPr>
          <w:cantSplit w:val="true"/>
        </w:trPr>
        <w:tc>
          <w:tcPr>
            <w:tcW w:type="dxa" w:w="2268"/>
          </w:tcPr>
          <w:p>
            <w:pPr>
              <w:spacing w:before="40" w:after="40" w:line="240" w:lineRule="auto"/>
            </w:pPr>
            <w:r>
              <w:rPr>
                <w:rFonts w:ascii="Arial" w:hAnsi="Arial" w:cs="Arial" w:eastAsia="Arial"/>
                <w:b w:val="0"/>
                <w:i w:val="0"/>
                <w:sz w:val="18"/>
              </w:rPr>
              <w:t>Clause 7.2</w:t>
            </w:r>
          </w:p>
        </w:tc>
        <w:tc>
          <w:tcPr>
            <w:tcW w:type="dxa" w:w="7483"/>
          </w:tcPr>
          <w:p>
            <w:pPr>
              <w:spacing w:before="40" w:after="40" w:line="240" w:lineRule="auto"/>
            </w:pPr>
            <w:r>
              <w:rPr>
                <w:rFonts w:ascii="Arial" w:hAnsi="Arial" w:cs="Arial" w:eastAsia="Arial"/>
                <w:b w:val="0"/>
                <w:i w:val="0"/>
                <w:sz w:val="18"/>
              </w:rPr>
              <w:t>Competence</w:t>
            </w:r>
          </w:p>
        </w:tc>
      </w:tr>
      <w:tr>
        <w:trPr>
          <w:cantSplit w:val="true"/>
        </w:trPr>
        <w:tc>
          <w:tcPr>
            <w:tcW w:type="dxa" w:w="2268"/>
          </w:tcPr>
          <w:p>
            <w:pPr>
              <w:spacing w:before="40" w:after="40" w:line="240" w:lineRule="auto"/>
            </w:pPr>
            <w:r>
              <w:rPr>
                <w:rFonts w:ascii="Arial" w:hAnsi="Arial" w:cs="Arial" w:eastAsia="Arial"/>
                <w:b w:val="0"/>
                <w:i w:val="0"/>
                <w:sz w:val="18"/>
              </w:rPr>
              <w:t>Clause 7.3</w:t>
            </w:r>
          </w:p>
        </w:tc>
        <w:tc>
          <w:tcPr>
            <w:tcW w:type="dxa" w:w="7483"/>
          </w:tcPr>
          <w:p>
            <w:pPr>
              <w:spacing w:before="40" w:after="40" w:line="240" w:lineRule="auto"/>
            </w:pPr>
            <w:r>
              <w:rPr>
                <w:rFonts w:ascii="Arial" w:hAnsi="Arial" w:cs="Arial" w:eastAsia="Arial"/>
                <w:b w:val="0"/>
                <w:i w:val="0"/>
                <w:sz w:val="18"/>
              </w:rPr>
              <w:t>Awareness</w:t>
            </w:r>
          </w:p>
        </w:tc>
      </w:tr>
      <w:tr>
        <w:trPr>
          <w:cantSplit w:val="true"/>
        </w:trPr>
        <w:tc>
          <w:tcPr>
            <w:tcW w:type="dxa" w:w="2268"/>
          </w:tcPr>
          <w:p>
            <w:pPr>
              <w:spacing w:before="40" w:after="40" w:line="240" w:lineRule="auto"/>
            </w:pPr>
            <w:r>
              <w:rPr>
                <w:rFonts w:ascii="Arial" w:hAnsi="Arial" w:cs="Arial" w:eastAsia="Arial"/>
                <w:b w:val="0"/>
                <w:i w:val="0"/>
                <w:sz w:val="18"/>
              </w:rPr>
              <w:t>Annex A 6.1</w:t>
            </w:r>
          </w:p>
        </w:tc>
        <w:tc>
          <w:tcPr>
            <w:tcW w:type="dxa" w:w="7483"/>
          </w:tcPr>
          <w:p>
            <w:pPr>
              <w:spacing w:before="40" w:after="40" w:line="240" w:lineRule="auto"/>
            </w:pPr>
            <w:r>
              <w:rPr>
                <w:rFonts w:ascii="Arial" w:hAnsi="Arial" w:cs="Arial" w:eastAsia="Arial"/>
                <w:b w:val="0"/>
                <w:i w:val="0"/>
                <w:sz w:val="18"/>
              </w:rPr>
              <w:t>Screening</w:t>
            </w:r>
          </w:p>
        </w:tc>
      </w:tr>
      <w:tr>
        <w:trPr>
          <w:cantSplit w:val="true"/>
        </w:trPr>
        <w:tc>
          <w:tcPr>
            <w:tcW w:type="dxa" w:w="2268"/>
          </w:tcPr>
          <w:p>
            <w:pPr>
              <w:spacing w:before="40" w:after="40" w:line="240" w:lineRule="auto"/>
            </w:pPr>
            <w:r>
              <w:rPr>
                <w:rFonts w:ascii="Arial" w:hAnsi="Arial" w:cs="Arial" w:eastAsia="Arial"/>
                <w:b w:val="0"/>
                <w:i w:val="0"/>
                <w:sz w:val="18"/>
              </w:rPr>
              <w:t>Annex A 6.2</w:t>
            </w:r>
          </w:p>
        </w:tc>
        <w:tc>
          <w:tcPr>
            <w:tcW w:type="dxa" w:w="7483"/>
          </w:tcPr>
          <w:p>
            <w:pPr>
              <w:spacing w:before="40" w:after="40" w:line="240" w:lineRule="auto"/>
            </w:pPr>
            <w:r>
              <w:rPr>
                <w:rFonts w:ascii="Arial" w:hAnsi="Arial" w:cs="Arial" w:eastAsia="Arial"/>
                <w:b w:val="0"/>
                <w:i w:val="0"/>
                <w:sz w:val="18"/>
              </w:rPr>
              <w:t>Terms and conditions of employment</w:t>
            </w:r>
          </w:p>
        </w:tc>
      </w:tr>
      <w:tr>
        <w:trPr>
          <w:cantSplit w:val="true"/>
        </w:trPr>
        <w:tc>
          <w:tcPr>
            <w:tcW w:type="dxa" w:w="2268"/>
          </w:tcPr>
          <w:p>
            <w:pPr>
              <w:spacing w:before="40" w:after="40" w:line="240" w:lineRule="auto"/>
            </w:pPr>
            <w:r>
              <w:rPr>
                <w:rFonts w:ascii="Arial" w:hAnsi="Arial" w:cs="Arial" w:eastAsia="Arial"/>
                <w:b w:val="0"/>
                <w:i w:val="0"/>
                <w:sz w:val="18"/>
              </w:rPr>
              <w:t>Annex A 6.3</w:t>
            </w:r>
          </w:p>
        </w:tc>
        <w:tc>
          <w:tcPr>
            <w:tcW w:type="dxa" w:w="7483"/>
          </w:tcPr>
          <w:p>
            <w:pPr>
              <w:spacing w:before="40" w:after="40" w:line="240" w:lineRule="auto"/>
            </w:pPr>
            <w:r>
              <w:rPr>
                <w:rFonts w:ascii="Arial" w:hAnsi="Arial" w:cs="Arial" w:eastAsia="Arial"/>
                <w:b w:val="0"/>
                <w:i w:val="0"/>
                <w:sz w:val="18"/>
              </w:rPr>
              <w:t>Information security awareness, education and training</w:t>
            </w:r>
          </w:p>
        </w:tc>
      </w:tr>
      <w:tr>
        <w:trPr>
          <w:cantSplit w:val="true"/>
        </w:trPr>
        <w:tc>
          <w:tcPr>
            <w:tcW w:type="dxa" w:w="2268"/>
          </w:tcPr>
          <w:p>
            <w:pPr>
              <w:spacing w:before="40" w:after="40" w:line="240" w:lineRule="auto"/>
            </w:pPr>
            <w:r>
              <w:rPr>
                <w:rFonts w:ascii="Arial" w:hAnsi="Arial" w:cs="Arial" w:eastAsia="Arial"/>
                <w:b w:val="0"/>
                <w:i w:val="0"/>
                <w:sz w:val="18"/>
              </w:rPr>
              <w:t>Annex A 6.4</w:t>
            </w:r>
          </w:p>
        </w:tc>
        <w:tc>
          <w:tcPr>
            <w:tcW w:type="dxa" w:w="7483"/>
          </w:tcPr>
          <w:p>
            <w:pPr>
              <w:spacing w:before="40" w:after="40" w:line="240" w:lineRule="auto"/>
            </w:pPr>
            <w:r>
              <w:rPr>
                <w:rFonts w:ascii="Arial" w:hAnsi="Arial" w:cs="Arial" w:eastAsia="Arial"/>
                <w:b w:val="0"/>
                <w:i w:val="0"/>
                <w:sz w:val="18"/>
              </w:rPr>
              <w:t>Disciplinary process</w:t>
            </w:r>
          </w:p>
        </w:tc>
      </w:tr>
      <w:tr>
        <w:trPr>
          <w:cantSplit w:val="true"/>
        </w:trPr>
        <w:tc>
          <w:tcPr>
            <w:tcW w:type="dxa" w:w="2268"/>
          </w:tcPr>
          <w:p>
            <w:pPr>
              <w:spacing w:before="40" w:after="40" w:line="240" w:lineRule="auto"/>
            </w:pPr>
            <w:r>
              <w:rPr>
                <w:rFonts w:ascii="Arial" w:hAnsi="Arial" w:cs="Arial" w:eastAsia="Arial"/>
                <w:b w:val="0"/>
                <w:i w:val="0"/>
                <w:sz w:val="18"/>
              </w:rPr>
              <w:t>Annex A 6.5</w:t>
            </w:r>
          </w:p>
        </w:tc>
        <w:tc>
          <w:tcPr>
            <w:tcW w:type="dxa" w:w="7483"/>
          </w:tcPr>
          <w:p>
            <w:pPr>
              <w:spacing w:before="40" w:after="40" w:line="240" w:lineRule="auto"/>
            </w:pPr>
            <w:r>
              <w:rPr>
                <w:rFonts w:ascii="Arial" w:hAnsi="Arial" w:cs="Arial" w:eastAsia="Arial"/>
                <w:b w:val="0"/>
                <w:i w:val="0"/>
                <w:sz w:val="18"/>
              </w:rPr>
              <w:t>Responsibilities after termination or change of employment</w:t>
            </w:r>
          </w:p>
        </w:tc>
      </w:tr>
      <w:tr>
        <w:trPr>
          <w:cantSplit w:val="true"/>
        </w:trPr>
        <w:tc>
          <w:tcPr>
            <w:tcW w:type="dxa" w:w="2268"/>
          </w:tcPr>
          <w:p>
            <w:pPr>
              <w:spacing w:before="40" w:after="40" w:line="240" w:lineRule="auto"/>
            </w:pPr>
            <w:r>
              <w:rPr>
                <w:rFonts w:ascii="Arial" w:hAnsi="Arial" w:cs="Arial" w:eastAsia="Arial"/>
                <w:b w:val="0"/>
                <w:i w:val="0"/>
                <w:sz w:val="18"/>
              </w:rPr>
              <w:t>Annex A 6.6</w:t>
            </w:r>
          </w:p>
        </w:tc>
        <w:tc>
          <w:tcPr>
            <w:tcW w:type="dxa" w:w="7483"/>
          </w:tcPr>
          <w:p>
            <w:pPr>
              <w:spacing w:before="40" w:after="40" w:line="240" w:lineRule="auto"/>
            </w:pPr>
            <w:r>
              <w:rPr>
                <w:rFonts w:ascii="Arial" w:hAnsi="Arial" w:cs="Arial" w:eastAsia="Arial"/>
                <w:b w:val="0"/>
                <w:i w:val="0"/>
                <w:sz w:val="18"/>
              </w:rPr>
              <w:t>Confidentiality or non-disclosure agreements</w:t>
            </w:r>
          </w:p>
        </w:tc>
      </w:tr>
    </w:tbl>
    <w:p>
      <w:pPr>
        <w:spacing w:after="80"/>
      </w:pPr>
    </w:p>
    <w:sectPr w:rsidR="00FC693F" w:rsidRPr="0006063C" w:rsidSect="00034616">
      <w:headerReference w:type="default" r:id="rId9"/>
      <w:footerReference w:type="default" r:id="rId10"/>
      <w:pgSz w:w="11906" w:h="16838"/>
      <w:pgMar w:top="1417" w:right="1361" w:bottom="141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s="Arial" w:eastAsia="Arial"/>
        <w:b w:val="0"/>
        <w:i w:val="0"/>
        <w:color w:val="5B6678"/>
        <w:sz w:val="17"/>
      </w:rPr>
      <w:t xml:space="preserve">HR Security Handbook    ·    Page </w:t>
    </w:r>
    <w:r>
      <w:rPr>
        <w:rFonts w:ascii="Arial" w:hAnsi="Arial" w:cs="Arial" w:eastAsia="Arial"/>
        <w:b w:val="0"/>
        <w:i w:val="0"/>
        <w:color w:val="5B6678"/>
        <w:sz w:val="17"/>
      </w:rPr>
      <w:fldChar w:fldCharType="begin"/>
      <w:instrText xml:space="preserve">PAGE</w:instrText>
      <w:fldChar w:fldCharType="end"/>
    </w:r>
    <w:r>
      <w:rPr>
        <w:rFonts w:ascii="Arial" w:hAnsi="Arial" w:cs="Arial" w:eastAsia="Arial"/>
        <w:b w:val="0"/>
        <w:i w:val="0"/>
        <w:color w:val="5B6678"/>
        <w:sz w:val="17"/>
      </w:rPr>
      <w:t xml:space="preserve"> of </w:t>
    </w:r>
    <w:r>
      <w:rPr>
        <w:rFonts w:ascii="Arial" w:hAnsi="Arial" w:cs="Arial" w:eastAsia="Arial"/>
        <w:b w:val="0"/>
        <w:i w:val="0"/>
        <w:color w:val="5B6678"/>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sdt>
      <w:sdtPr>
        <w:alias w:val="Company name"/>
        <w:tag w:val="company"/>
      </w:sdtPr>
      <w:sdtContent>
        <w:r>
          <w:rPr>
            <w:rFonts w:ascii="Arial" w:hAnsi="Arial" w:cs="Arial" w:eastAsia="Arial"/>
            <w:b/>
            <w:i w:val="0"/>
            <w:color w:val="1B253B"/>
            <w:sz w:val="18"/>
            <w:highlight w:val="yellow"/>
          </w:rPr>
          <w:t>&lt;Company name&gt;</w:t>
        </w:r>
      </w:sdtContent>
    </w:sdt>
    <w:r>
      <w:t xml:space="preserve">    </w:t>
    </w:r>
    <w:r>
      <w:rPr>
        <w:rFonts w:ascii="Arial" w:hAnsi="Arial" w:cs="Arial" w:eastAsia="Arial"/>
        <w:b w:val="0"/>
        <w:i w:val="0"/>
        <w:color w:val="5B6678"/>
        <w:sz w:val="18"/>
      </w:rPr>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