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Template instructions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sz w:val="21"/>
        </w:rPr>
        <w:t>Delete this page before you use the document.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sz w:val="21"/>
        </w:rPr>
        <w:t>This is a complete, ready-to-edit document for an ISO/IEC 27001:2022 information security management system (ISMS). It is written for an ordinary organisation, so most of it can stay as it is once you have made it true for you.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How to use it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 xml:space="preserve">1.  Replace every highlighted </w:t>
      </w:r>
      <w:r>
        <w:rPr>
          <w:rFonts w:ascii="Arial" w:hAnsi="Arial" w:cs="Arial" w:eastAsia="Arial"/>
          <w:b w:val="0"/>
          <w:i w:val="0"/>
          <w:sz w:val="21"/>
          <w:highlight w:val="yellow"/>
        </w:rPr>
        <w:t>&lt;placeholder&gt;</w:t>
      </w:r>
      <w:r>
        <w:rPr>
          <w:rFonts w:ascii="Arial" w:hAnsi="Arial" w:cs="Arial" w:eastAsia="Arial"/>
          <w:b w:val="0"/>
          <w:i w:val="0"/>
          <w:sz w:val="21"/>
        </w:rPr>
        <w:t xml:space="preserve"> in angle brackets with your own text. Use Find (Ctrl+F) and search for the symbol &lt; to make sure none are left. The page header has one too.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2.  Read each section and ask whether it describes what you really do. If it does not, change it to match your practice. A document that says one thing while the organisation does another is worse than no document.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3.  If a section does not apply to you, remove it, or say briefly why it does not apply.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4.  Fill in the document information table on the next page: the owner, the version, who approved it and the date of the next review.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5.  Delete the grey guidance notes once you have read them.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6.  Have it approved by the person named as approver, then record it in Policies, with its owner and review date.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Before you finish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No yellow highlighting or angle brackets are left in the text.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The document has been proofread for spelling, grammar and consistency of names and roles.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Somebody who does the work has read it and agrees that it reflects what happens.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The version, dates and approval are filled in, and it is saved where the people who need it can find it.</w:t>
      </w:r>
    </w:p>
    <w:p>
      <w:pPr>
        <w:spacing w:before="200" w:after="120" w:line="276" w:lineRule="auto"/>
      </w:pPr>
      <w:r>
        <w:rPr>
          <w:rFonts w:ascii="Arial" w:hAnsi="Arial" w:cs="Arial" w:eastAsia="Arial"/>
          <w:b w:val="0"/>
          <w:i w:val="0"/>
          <w:color w:val="5B6678"/>
          <w:sz w:val="21"/>
        </w:rPr>
        <w:t>These templates are a starting point. They are not legal advice and do not by themselves make an organisation compliant with ISO/IEC 27001 or any law.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Arial" w:hAnsi="Arial" w:cs="Arial" w:eastAsia="Arial"/>
          <w:b/>
          <w:i w:val="0"/>
          <w:color w:val="1B253B"/>
          <w:sz w:val="44"/>
        </w:rPr>
        <w:t>Vendor and Supplier Management Policy</w:t>
      </w:r>
    </w:p>
    <w:p>
      <w:pPr>
        <w:spacing w:before="0" w:after="200" w:line="276" w:lineRule="auto"/>
      </w:pPr>
      <w:r>
        <w:rPr>
          <w:rFonts w:ascii="Arial" w:hAnsi="Arial" w:cs="Arial" w:eastAsia="Arial"/>
          <w:b w:val="0"/>
          <w:i w:val="0"/>
          <w:color w:val="5B6678"/>
          <w:sz w:val="21"/>
        </w:rPr>
        <w:t>How suppliers, including cloud services, are chosen, contracted and watched.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3402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Document information</w:t>
            </w:r>
          </w:p>
        </w:tc>
        <w:tc>
          <w:tcPr>
            <w:tcW w:type="dxa" w:w="6350"/>
            <w:shd w:val="clear" w:color="auto" w:fill="DCE6F5"/>
          </w:tcPr>
          <w:p>
            <w:pPr>
              <w:spacing w:before="40" w:after="40" w:line="240" w:lineRule="auto"/>
            </w:pP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POL-06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0.1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Draft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Owner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role title"/>
                <w:tag w:val="$owner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&lt;role title&gt;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role title"/>
                <w:tag w:val="$approver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&lt;role title&gt;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Classification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Internal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Effective date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date"/>
                <w:tag w:val="$approval_date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&lt;date&gt;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Next review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date"/>
                <w:tag w:val="$next_review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&lt;date&gt;</w:t>
                </w:r>
              </w:sdtContent>
            </w:sdt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134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Version</w:t>
            </w:r>
          </w:p>
        </w:tc>
        <w:tc>
          <w:tcPr>
            <w:tcW w:type="dxa" w:w="1474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Date</w:t>
            </w:r>
          </w:p>
        </w:tc>
        <w:tc>
          <w:tcPr>
            <w:tcW w:type="dxa" w:w="1814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Author</w:t>
            </w:r>
          </w:p>
        </w:tc>
        <w:tc>
          <w:tcPr>
            <w:tcW w:type="dxa" w:w="1928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Approved by</w:t>
            </w:r>
          </w:p>
        </w:tc>
        <w:tc>
          <w:tcPr>
            <w:tcW w:type="dxa" w:w="3402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What changed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0.1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</w:pPr>
            <w:sdt>
              <w:sdtPr>
                <w:alias w:val="date"/>
                <w:tag w:val="$approval_date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&lt;date&gt;</w:t>
                </w:r>
              </w:sdtContent>
            </w:sdt>
          </w:p>
        </w:tc>
        <w:tc>
          <w:tcPr>
            <w:tcW w:type="dxa" w:w="1814"/>
          </w:tcPr>
          <w:p>
            <w:pPr>
              <w:spacing w:before="40" w:after="40" w:line="240" w:lineRule="auto"/>
            </w:pPr>
            <w:sdt>
              <w:sdtPr>
                <w:alias w:val="name"/>
                <w:tag w:val="$owner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&lt;name&gt;</w:t>
                </w:r>
              </w:sdtContent>
            </w:sdt>
          </w:p>
        </w:tc>
        <w:tc>
          <w:tcPr>
            <w:tcW w:type="dxa" w:w="1928"/>
          </w:tcPr>
          <w:p>
            <w:pPr>
              <w:spacing w:before="40" w:after="40" w:line="240" w:lineRule="auto"/>
            </w:pPr>
            <w:sdt>
              <w:sdtPr>
                <w:alias w:val="name"/>
                <w:tag w:val="$approver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&lt;name&gt;</w:t>
                </w:r>
              </w:sdtContent>
            </w:sdt>
          </w:p>
        </w:tc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First draft from the template</w:t>
            </w:r>
          </w:p>
        </w:tc>
      </w:tr>
    </w:tbl>
    <w:p>
      <w:pPr>
        <w:spacing w:after="80"/>
      </w:pP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1. Purpose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This policy sets how </w:t>
      </w:r>
      <w:sdt>
        <w:sdtPr>
          <w:alias w:val="Company name"/>
          <w:tag w:val="company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&lt;Company name&gt;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 xml:space="preserve"> chooses, contracts with and monitors suppliers and service providers, including cloud services, so that a supplier does not become the weakest point in our security.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2. Before using a supplier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 xml:space="preserve">1.  </w:t>
      </w:r>
      <w:r>
        <w:rPr>
          <w:rFonts w:ascii="Arial" w:hAnsi="Arial" w:cs="Arial" w:eastAsia="Arial"/>
          <w:b/>
          <w:i w:val="0"/>
          <w:sz w:val="21"/>
        </w:rPr>
        <w:t>Ask.</w:t>
      </w:r>
      <w:r>
        <w:rPr>
          <w:rFonts w:ascii="Arial" w:hAnsi="Arial" w:cs="Arial" w:eastAsia="Arial"/>
          <w:b w:val="0"/>
          <w:i w:val="0"/>
          <w:sz w:val="21"/>
        </w:rPr>
        <w:t xml:space="preserve"> Before signing, anyone who will have access to our information or systems is assessed: a short security questionnaire, any certificate they hold (for example ISO/IEC 27001 or SOC 2), and how they handle data.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 xml:space="preserve">2.  </w:t>
      </w:r>
      <w:r>
        <w:rPr>
          <w:rFonts w:ascii="Arial" w:hAnsi="Arial" w:cs="Arial" w:eastAsia="Arial"/>
          <w:b/>
          <w:i w:val="0"/>
          <w:sz w:val="21"/>
        </w:rPr>
        <w:t>Rate.</w:t>
      </w:r>
      <w:r>
        <w:rPr>
          <w:rFonts w:ascii="Arial" w:hAnsi="Arial" w:cs="Arial" w:eastAsia="Arial"/>
          <w:b w:val="0"/>
          <w:i w:val="0"/>
          <w:sz w:val="21"/>
        </w:rPr>
        <w:t xml:space="preserve"> Each supplier gets a risk level, High, Medium or Low, with the reason, recorded in the supplier register.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 xml:space="preserve">3.  </w:t>
      </w:r>
      <w:r>
        <w:rPr>
          <w:rFonts w:ascii="Arial" w:hAnsi="Arial" w:cs="Arial" w:eastAsia="Arial"/>
          <w:b/>
          <w:i w:val="0"/>
          <w:sz w:val="21"/>
        </w:rPr>
        <w:t>Contract.</w:t>
      </w:r>
      <w:r>
        <w:rPr>
          <w:rFonts w:ascii="Arial" w:hAnsi="Arial" w:cs="Arial" w:eastAsia="Arial"/>
          <w:b w:val="0"/>
          <w:i w:val="0"/>
          <w:sz w:val="21"/>
        </w:rPr>
        <w:t xml:space="preserve"> The contract includes the security terms in section 3.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 xml:space="preserve">4.  </w:t>
      </w:r>
      <w:r>
        <w:rPr>
          <w:rFonts w:ascii="Arial" w:hAnsi="Arial" w:cs="Arial" w:eastAsia="Arial"/>
          <w:b/>
          <w:i w:val="0"/>
          <w:sz w:val="21"/>
        </w:rPr>
        <w:t>Approve.</w:t>
      </w:r>
      <w:r>
        <w:rPr>
          <w:rFonts w:ascii="Arial" w:hAnsi="Arial" w:cs="Arial" w:eastAsia="Arial"/>
          <w:b w:val="0"/>
          <w:i w:val="0"/>
          <w:sz w:val="21"/>
        </w:rPr>
        <w:t xml:space="preserve"> </w:t>
      </w:r>
      <w:sdt>
        <w:sdtPr>
          <w:alias w:val="role title"/>
          <w:tag w:val="P6.b1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&lt;role title&gt;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 xml:space="preserve"> approves the supplier before work starts.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3. What the contract says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Confidentiality of our information.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Telling us about a breach within </w:t>
      </w:r>
      <w:sdt>
        <w:sdtPr>
          <w:alias w:val="time, for example 24 hours"/>
          <w:tag w:val="P6.b2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&lt;time, for example 24 hours&gt;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Data protection terms, and where our data is stored and processed.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Our right to ask for evidence, or to audit, where the risk justifies it.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Returning or securely deleting our data when the contract ends, and confirming it in writing.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Rules for the supplier's own suppliers who handle our information.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4. Cloud services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Cloud services are chosen against clear security needs and set up to </w:t>
      </w:r>
      <w:sdt>
        <w:sdtPr>
          <w:alias w:val="the provider's hardening guide or our own standard"/>
          <w:tag w:val="P6.b3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&lt;the provider's hardening guide or our own standard&gt;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Before depending on a critical cloud service, an exit plan is written: how to export our data, in what format, and how we confirm deletion.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Who in </w:t>
      </w:r>
      <w:sdt>
        <w:sdtPr>
          <w:alias w:val="Company name"/>
          <w:tag w:val="company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&lt;Company name&gt;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 xml:space="preserve"> owns each cloud service is recorded in the supplier register.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5. While the supplier is working for us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2268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Risk level</w:t>
            </w:r>
          </w:p>
        </w:tc>
        <w:tc>
          <w:tcPr>
            <w:tcW w:type="dxa" w:w="7483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Review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At least once a year: questionnaire, certificates, incidents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At least every </w:t>
            </w:r>
            <w:sdt>
              <w:sdtPr>
                <w:alias w:val="two years"/>
                <w:tag w:val="P6.b4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&lt;two years&gt;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Low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When the contract renews</w:t>
            </w:r>
          </w:p>
        </w:tc>
      </w:tr>
    </w:tbl>
    <w:p>
      <w:pPr>
        <w:spacing w:after="80"/>
      </w:pP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A change to the supplier's service, ownership or the companies it uses triggers a new assessment.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A supplier incident that affects our information is handled under the Incident Response Plan (POL-05).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6. Suppliers of suppliers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For critical services, the assessment also looks at the supplier's own key suppliers, and at how much we depend on one provider. Where a risk cannot be dealt with in the contract, it is written in the risk register and either treated or accepted by </w:t>
      </w:r>
      <w:sdt>
        <w:sdtPr>
          <w:alias w:val="role title"/>
          <w:tag w:val="P6.b5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&lt;role title&gt;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7. Ending the relationship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Access is removed on the last day.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Our information is returned or deleted, and the supplier confirms it.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The supplier register is updated.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Where this comes from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2268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Reference</w:t>
            </w:r>
          </w:p>
        </w:tc>
        <w:tc>
          <w:tcPr>
            <w:tcW w:type="dxa" w:w="7483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Requirement addressed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5.19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 in supplier relationships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5.20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Addressing information security within supplier agreements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5.21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Managing information security in the ICT supply chain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5.22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Monitoring, review and change management of supplier services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5.23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 for use of cloud services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361" w:bottom="141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cs="Arial" w:eastAsia="Arial"/>
        <w:b w:val="0"/>
        <w:i w:val="0"/>
        <w:color w:val="5B6678"/>
        <w:sz w:val="17"/>
      </w:rPr>
      <w:t xml:space="preserve">Vendor and Supplier Management Policy    ·    Page </w:t>
    </w:r>
    <w:r>
      <w:rPr>
        <w:rFonts w:ascii="Arial" w:hAnsi="Arial" w:cs="Arial" w:eastAsia="Arial"/>
        <w:b w:val="0"/>
        <w:i w:val="0"/>
        <w:color w:val="5B6678"/>
        <w:sz w:val="17"/>
      </w:rPr>
      <w:fldChar w:fldCharType="begin"/>
      <w:instrText xml:space="preserve">PAGE</w:instrText>
      <w:fldChar w:fldCharType="end"/>
    </w:r>
    <w:r>
      <w:rPr>
        <w:rFonts w:ascii="Arial" w:hAnsi="Arial" w:cs="Arial" w:eastAsia="Arial"/>
        <w:b w:val="0"/>
        <w:i w:val="0"/>
        <w:color w:val="5B6678"/>
        <w:sz w:val="17"/>
      </w:rPr>
      <w:t xml:space="preserve"> of </w:t>
    </w:r>
    <w:r>
      <w:rPr>
        <w:rFonts w:ascii="Arial" w:hAnsi="Arial" w:cs="Arial" w:eastAsia="Arial"/>
        <w:b w:val="0"/>
        <w:i w:val="0"/>
        <w:color w:val="5B6678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sdt>
      <w:sdtPr>
        <w:alias w:val="Company name"/>
        <w:tag w:val="company"/>
      </w:sdtPr>
      <w:sdtContent>
        <w:r>
          <w:rPr>
            <w:rFonts w:ascii="Arial" w:hAnsi="Arial" w:cs="Arial" w:eastAsia="Arial"/>
            <w:b/>
            <w:i w:val="0"/>
            <w:color w:val="1B253B"/>
            <w:sz w:val="18"/>
            <w:highlight w:val="yellow"/>
          </w:rPr>
          <w:t>&lt;Company name&gt;</w:t>
        </w:r>
      </w:sdtContent>
    </w:sdt>
    <w:r>
      <w:t xml:space="preserve">    </w:t>
    </w:r>
    <w:r>
      <w:rPr>
        <w:rFonts w:ascii="Arial" w:hAnsi="Arial" w:cs="Arial" w:eastAsia="Arial"/>
        <w:b w:val="0"/>
        <w:i w:val="0"/>
        <w:color w:val="5B6678"/>
        <w:sz w:val="18"/>
      </w:rPr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