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How to use this template</w:t>
      </w:r>
    </w:p>
    <w:p>
      <w:r>
        <w:t>Yellow &lt;placeholders&gt; are where your own details go. Fill them in on the Templates tab in Offset Attest and download the document filled in, or edit it here in Word.</w:t>
      </w:r>
    </w:p>
    <w:p>
      <w:r>
        <w:t>Change anything that does not match what you really do. Your CPA firm will test what this document says, so a promise you do not keep becomes an exception in your SOC report.</w:t>
      </w:r>
    </w:p>
    <w:p>
      <w:r>
        <w:t>Relevant criteria: CC9.1, A1.1, A1.2, A1.3.</w:t>
      </w:r>
    </w:p>
    <w:p>
      <w:r>
        <w:br w:type="page"/>
      </w:r>
    </w:p>
    <w:p>
      <w:pPr>
        <w:pStyle w:val="Title"/>
      </w:pPr>
      <w:sdt>
        <w:sdtPr>
          <w:alias w:val="Company name"/>
          <w:tag w:val="company"/>
        </w:sdtPr>
        <w:sdtContent>
          <w:r>
            <w:rPr>
              <w:highlight w:val="yellow"/>
            </w:rPr>
            <w:t>&lt;Company name&gt;</w:t>
          </w:r>
        </w:sdtContent>
      </w:sdt>
      <w:r>
        <w:t xml:space="preserve"> Business Continuity and Disaster Recovery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sdt>
              <w:sdtPr>
                <w:alias w:val="owner"/>
                <w:tag w:val="$owner"/>
              </w:sdtPr>
              <w:sdtContent>
                <w:r>
                  <w:rPr>
                    <w:highlight w:val="yellow"/>
                  </w:rPr>
                  <w:t>&lt;owner&gt;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Approver</w:t>
            </w:r>
          </w:p>
        </w:tc>
        <w:tc>
          <w:tcPr>
            <w:tcW w:type="dxa" w:w="4320"/>
          </w:tcPr>
          <w:p>
            <w:sdt>
              <w:sdtPr>
                <w:alias w:val="approver"/>
                <w:tag w:val="$approver"/>
              </w:sdtPr>
              <w:sdtContent>
                <w:r>
                  <w:rPr>
                    <w:highlight w:val="yellow"/>
                  </w:rPr>
                  <w:t>&lt;approver&gt;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sdt>
              <w:sdtPr>
                <w:alias w:val="version"/>
                <w:tag w:val="$version"/>
              </w:sdtPr>
              <w:sdtContent>
                <w:r>
                  <w:rPr>
                    <w:highlight w:val="yellow"/>
                  </w:rPr>
                  <w:t>&lt;version&gt;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sdt>
              <w:sdtPr>
                <w:alias w:val="effective date"/>
                <w:tag w:val="$approval_date"/>
              </w:sdtPr>
              <w:sdtContent>
                <w:r>
                  <w:rPr>
                    <w:highlight w:val="yellow"/>
                  </w:rPr>
                  <w:t>&lt;effective date&gt;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sdt>
              <w:sdtPr>
                <w:alias w:val="next review"/>
                <w:tag w:val="$next_review"/>
              </w:sdtPr>
              <w:sdtContent>
                <w:r>
                  <w:rPr>
                    <w:highlight w:val="yellow"/>
                  </w:rPr>
                  <w:t>&lt;next review&gt;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sdt>
              <w:sdtPr>
                <w:alias w:val="classification"/>
                <w:tag w:val="$classification"/>
              </w:sdtPr>
              <w:sdtContent>
                <w:r>
                  <w:rPr>
                    <w:highlight w:val="yellow"/>
                  </w:rPr>
                  <w:t>&lt;classification&gt;</w:t>
                </w:r>
              </w:sdtContent>
            </w:sdt>
          </w:p>
        </w:tc>
      </w:tr>
    </w:tbl>
    <w:p/>
    <w:p>
      <w:pPr>
        <w:pStyle w:val="Heading1"/>
      </w:pPr>
      <w:r>
        <w:t>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Target</w:t>
            </w:r>
          </w:p>
        </w:tc>
      </w:tr>
      <w:tr>
        <w:tc>
          <w:tcPr>
            <w:tcW w:type="dxa" w:w="4320"/>
          </w:tcPr>
          <w:p>
            <w:r>
              <w:t>Recovery time objective (RTO)</w:t>
            </w:r>
          </w:p>
        </w:tc>
        <w:tc>
          <w:tcPr>
            <w:tcW w:type="dxa" w:w="4320"/>
          </w:tcPr>
          <w:p>
            <w:sdt>
              <w:sdtPr>
                <w:alias w:val="recovery time objective"/>
                <w:tag w:val="rto"/>
              </w:sdtPr>
              <w:sdtContent>
                <w:r>
                  <w:rPr>
                    <w:highlight w:val="yellow"/>
                  </w:rPr>
                  <w:t>&lt;recovery time objective&gt;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Recovery point objective (RPO)</w:t>
            </w:r>
          </w:p>
        </w:tc>
        <w:tc>
          <w:tcPr>
            <w:tcW w:type="dxa" w:w="4320"/>
          </w:tcPr>
          <w:p>
            <w:sdt>
              <w:sdtPr>
                <w:alias w:val="recovery point objective"/>
                <w:tag w:val="rpo"/>
              </w:sdtPr>
              <w:sdtContent>
                <w:r>
                  <w:rPr>
                    <w:highlight w:val="yellow"/>
                  </w:rPr>
                  <w:t>&lt;recovery point objective&gt;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Availability commitment</w:t>
            </w:r>
          </w:p>
        </w:tc>
        <w:tc>
          <w:tcPr>
            <w:tcW w:type="dxa" w:w="4320"/>
          </w:tcPr>
          <w:p>
            <w:sdt>
              <w:sdtPr>
                <w:alias w:val="availability target"/>
                <w:tag w:val="07.b1"/>
              </w:sdtPr>
              <w:sdtContent>
                <w:r>
                  <w:rPr>
                    <w:highlight w:val="yellow"/>
                  </w:rPr>
                  <w:t>&lt;availability target&gt;</w:t>
                </w:r>
              </w:sdtContent>
            </w:sdt>
          </w:p>
        </w:tc>
      </w:tr>
    </w:tbl>
    <w:p/>
    <w:p>
      <w:pPr>
        <w:pStyle w:val="Heading1"/>
      </w:pPr>
      <w:r>
        <w:t>Resilience</w:t>
      </w:r>
    </w:p>
    <w:p>
      <w:pPr>
        <w:pStyle w:val="ListBullet"/>
      </w:pPr>
      <w:sdt>
        <w:sdtPr>
          <w:alias w:val="name of the service"/>
          <w:tag w:val="system_name"/>
        </w:sdtPr>
        <w:sdtContent>
          <w:r>
            <w:rPr>
              <w:highlight w:val="yellow"/>
            </w:rPr>
            <w:t>&lt;name of the service&gt;</w:t>
          </w:r>
        </w:sdtContent>
      </w:sdt>
      <w:r>
        <w:t xml:space="preserve"> runs at </w:t>
      </w:r>
      <w:sdt>
        <w:sdtPr>
          <w:alias w:val="hosting provider"/>
          <w:tag w:val="hosting_provider"/>
        </w:sdtPr>
        <w:sdtContent>
          <w:r>
            <w:rPr>
              <w:highlight w:val="yellow"/>
            </w:rPr>
            <w:t>&lt;hosting provider&gt;</w:t>
          </w:r>
        </w:sdtContent>
      </w:sdt>
      <w:r>
        <w:t xml:space="preserve"> across more than one availability zone.</w:t>
      </w:r>
    </w:p>
    <w:p>
      <w:pPr>
        <w:pStyle w:val="ListBullet"/>
      </w:pPr>
      <w:r>
        <w:t xml:space="preserve">Production data is backed up </w:t>
      </w:r>
      <w:sdt>
        <w:sdtPr>
          <w:alias w:val="backup frequency"/>
          <w:tag w:val="backup_frequency"/>
        </w:sdtPr>
        <w:sdtContent>
          <w:r>
            <w:rPr>
              <w:highlight w:val="yellow"/>
            </w:rPr>
            <w:t>&lt;backup frequency&gt;</w:t>
          </w:r>
        </w:sdtContent>
      </w:sdt>
      <w:r>
        <w:t>, encrypted, and copied to a separate region. Backup failures alert the on-call engineer.</w:t>
      </w:r>
    </w:p>
    <w:p>
      <w:pPr>
        <w:pStyle w:val="ListBullet"/>
      </w:pPr>
      <w:r>
        <w:t>Capacity is monitored and scaled ahead of demand.</w:t>
      </w:r>
    </w:p>
    <w:p>
      <w:pPr>
        <w:pStyle w:val="Heading1"/>
      </w:pPr>
      <w:r>
        <w:t>Recovery</w:t>
      </w:r>
    </w:p>
    <w:p>
      <w:pPr>
        <w:pStyle w:val="ListBullet"/>
      </w:pPr>
      <w:r>
        <w:t xml:space="preserve">The </w:t>
      </w:r>
      <w:sdt>
        <w:sdtPr>
          <w:alias w:val="security owner role"/>
          <w:tag w:val="security_owner"/>
        </w:sdtPr>
        <w:sdtContent>
          <w:r>
            <w:rPr>
              <w:highlight w:val="yellow"/>
            </w:rPr>
            <w:t>&lt;security owner role&gt;</w:t>
          </w:r>
        </w:sdtContent>
      </w:sdt>
      <w:r>
        <w:t xml:space="preserve"> decides when to invoke this plan and leads the recovery.</w:t>
      </w:r>
    </w:p>
    <w:p>
      <w:pPr>
        <w:pStyle w:val="ListBullet"/>
      </w:pPr>
      <w:r>
        <w:t xml:space="preserve">Recovery runbooks are kept in </w:t>
      </w:r>
      <w:sdt>
        <w:sdtPr>
          <w:alias w:val="runbook location"/>
          <w:tag w:val="07.b2"/>
        </w:sdtPr>
        <w:sdtContent>
          <w:r>
            <w:rPr>
              <w:highlight w:val="yellow"/>
            </w:rPr>
            <w:t>&lt;runbook location&gt;</w:t>
          </w:r>
        </w:sdtContent>
      </w:sdt>
      <w:r>
        <w:t>, where the on-call team can reach them during an outage.</w:t>
      </w:r>
    </w:p>
    <w:p>
      <w:pPr>
        <w:pStyle w:val="ListBullet"/>
      </w:pPr>
      <w:r>
        <w:t>Customers are kept informed through the status page.</w:t>
      </w:r>
    </w:p>
    <w:p>
      <w:pPr>
        <w:pStyle w:val="Heading1"/>
      </w:pPr>
      <w:r>
        <w:t>Testing</w:t>
      </w:r>
    </w:p>
    <w:p>
      <w:r>
        <w:t>A restore from backup is tested at least every quarter, and the full disaster recovery plan at least once a year. Results, including the recovery time achieved, are recorded and gaps are fixed.</w:t>
      </w:r>
    </w:p>
    <w:p>
      <w:pPr>
        <w:pStyle w:val="Heading1"/>
      </w:pPr>
      <w:r>
        <w:t>Key people</w:t>
      </w:r>
    </w:p>
    <w:p>
      <w:pPr>
        <w:pStyle w:val="ListBullet"/>
      </w:pPr>
      <w:r>
        <w:t>Business continuity also covers people: each critical role has a named deputy who can run it.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sdt>
      <w:sdtPr>
        <w:alias w:val="Company name"/>
        <w:tag w:val="company"/>
      </w:sdtPr>
      <w:sdtContent>
        <w:r>
          <w:rPr>
            <w:highlight w:val="yellow"/>
          </w:rPr>
          <w:t>&lt;Company name&gt;</w:t>
        </w:r>
      </w:sdtContent>
    </w:sdt>
    <w:r>
      <w:t xml:space="preserve">  |  Business Continuity and Disaster Recovery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