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CC3.1, CC3.2, CC3.3, CC3.4.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Risk Assessment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Purpose</w:t>
      </w:r>
    </w:p>
    <w:p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assesses risks to meeting its service commitments at least once a year, so that controls are chosen for real risks and significant changes are not missed.</w:t>
      </w:r>
    </w:p>
    <w:p>
      <w:pPr>
        <w:pStyle w:val="Heading1"/>
      </w:pPr>
      <w:r>
        <w:t>Method</w:t>
      </w:r>
    </w:p>
    <w:p>
      <w:pPr>
        <w:pStyle w:val="ListBullet"/>
      </w:pPr>
      <w:r>
        <w:t xml:space="preserve">Risks are identified by the </w:t>
      </w:r>
      <w:sdt>
        <w:sdtPr>
          <w:alias w:val="security owner role"/>
          <w:tag w:val="security_owner"/>
        </w:sdtPr>
        <w:sdtContent>
          <w:r>
            <w:rPr>
              <w:highlight w:val="yellow"/>
            </w:rPr>
            <w:t>&lt;security owner role&gt;</w:t>
          </w:r>
        </w:sdtContent>
      </w:sdt>
      <w:r>
        <w:t xml:space="preserve"> with the owners of each area, covering technology, people, vendors, processes and fraud.</w:t>
      </w:r>
    </w:p>
    <w:p>
      <w:pPr>
        <w:pStyle w:val="ListBullet"/>
      </w:pPr>
      <w:r>
        <w:t>Each risk is scored for likelihood and impact from 1 to 5. The score is likelihood times impact.</w:t>
      </w:r>
    </w:p>
    <w:p>
      <w:pPr>
        <w:pStyle w:val="ListBullet"/>
      </w:pPr>
      <w:r>
        <w:t xml:space="preserve">Risks scoring </w:t>
      </w:r>
      <w:sdt>
        <w:sdtPr>
          <w:alias w:val="treatment threshold"/>
          <w:tag w:val="08.b1"/>
        </w:sdtPr>
        <w:sdtContent>
          <w:r>
            <w:rPr>
              <w:highlight w:val="yellow"/>
            </w:rPr>
            <w:t>&lt;treatment threshold&gt;</w:t>
          </w:r>
        </w:sdtContent>
      </w:sdt>
      <w:r>
        <w:t xml:space="preserve"> or more are treated: reduced with controls, transferred, avoided, or formally accepted by the </w:t>
      </w:r>
      <w:sdt>
        <w:sdtPr>
          <w:alias w:val="approver role"/>
          <w:tag w:val="approver"/>
        </w:sdtPr>
        <w:sdtContent>
          <w:r>
            <w:rPr>
              <w:highlight w:val="yellow"/>
            </w:rPr>
            <w:t>&lt;approver role&gt;</w:t>
          </w:r>
        </w:sdtContent>
      </w:sdt>
      <w:r>
        <w:t>.</w:t>
      </w:r>
    </w:p>
    <w:p>
      <w:pPr>
        <w:pStyle w:val="ListBullet"/>
      </w:pPr>
      <w:r>
        <w:t>Each risk has an owner and a review date.</w:t>
      </w:r>
    </w:p>
    <w:p>
      <w:pPr>
        <w:pStyle w:val="Heading1"/>
      </w:pPr>
      <w:r>
        <w:t>Fraud</w:t>
      </w:r>
    </w:p>
    <w:p>
      <w:r>
        <w:t>The assessment considers how someone could misuse access, alter records or override controls, alone or with others.</w:t>
      </w:r>
    </w:p>
    <w:p>
      <w:pPr>
        <w:pStyle w:val="Heading1"/>
      </w:pPr>
      <w:r>
        <w:t>Change</w:t>
      </w:r>
    </w:p>
    <w:p>
      <w:r>
        <w:t>Significant changes, such as a new product, a new vendor that holds customer data, or a change of hosting, are assessed for risk before they happen.</w:t>
      </w:r>
    </w:p>
    <w:p>
      <w:pPr>
        <w:pStyle w:val="Heading1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risks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Ref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Treatment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&lt;Ref&gt;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&lt;Risk&gt;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&lt;Score&gt;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&lt;Treatment&gt;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&lt;Owner&gt;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&lt;Status&gt;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Risk Assessment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