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How to use this template</w:t>
      </w:r>
    </w:p>
    <w:p>
      <w:r>
        <w:t>Yellow &lt;placeholders&gt; are where your own details go. Fill them in on the Templates tab in Offset Attest and download the document filled in, or edit it here in Word.</w:t>
      </w:r>
    </w:p>
    <w:p>
      <w:r>
        <w:t>Change anything that does not match what you really do. Your CPA firm will test what this document says, so a promise you do not keep becomes an exception in your SOC report.</w:t>
      </w:r>
    </w:p>
    <w:p>
      <w:r>
        <w:t>Relevant criteria: CC9.2, P6.4.</w:t>
      </w:r>
    </w:p>
    <w:p>
      <w:r>
        <w:br w:type="page"/>
      </w:r>
    </w:p>
    <w:p>
      <w:pPr>
        <w:pStyle w:val="Title"/>
      </w:pPr>
      <w:sdt>
        <w:sdtPr>
          <w:alias w:val="Company name"/>
          <w:tag w:val="company"/>
        </w:sdtPr>
        <w:sdtContent>
          <w:r>
            <w:rPr>
              <w:highlight w:val="yellow"/>
            </w:rPr>
            <w:t>&lt;Company name&gt;</w:t>
          </w:r>
        </w:sdtContent>
      </w:sdt>
      <w:r>
        <w:t xml:space="preserve"> Vendor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sdt>
              <w:sdtPr>
                <w:alias w:val="owner"/>
                <w:tag w:val="$owner"/>
              </w:sdtPr>
              <w:sdtContent>
                <w:r>
                  <w:rPr>
                    <w:highlight w:val="yellow"/>
                  </w:rPr>
                  <w:t>&lt;owner&gt;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sdt>
              <w:sdtPr>
                <w:alias w:val="approver"/>
                <w:tag w:val="$approver"/>
              </w:sdtPr>
              <w:sdtContent>
                <w:r>
                  <w:rPr>
                    <w:highlight w:val="yellow"/>
                  </w:rPr>
                  <w:t>&lt;approver&gt;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sdt>
              <w:sdtPr>
                <w:alias w:val="version"/>
                <w:tag w:val="$version"/>
              </w:sdtPr>
              <w:sdtContent>
                <w:r>
                  <w:rPr>
                    <w:highlight w:val="yellow"/>
                  </w:rPr>
                  <w:t>&lt;version&gt;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sdt>
              <w:sdtPr>
                <w:alias w:val="effective date"/>
                <w:tag w:val="$approval_date"/>
              </w:sdtPr>
              <w:sdtContent>
                <w:r>
                  <w:rPr>
                    <w:highlight w:val="yellow"/>
                  </w:rPr>
                  <w:t>&lt;effective date&gt;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sdt>
              <w:sdtPr>
                <w:alias w:val="next review"/>
                <w:tag w:val="$next_review"/>
              </w:sdtPr>
              <w:sdtContent>
                <w:r>
                  <w:rPr>
                    <w:highlight w:val="yellow"/>
                  </w:rPr>
                  <w:t>&lt;next review&gt;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sdt>
              <w:sdtPr>
                <w:alias w:val="classification"/>
                <w:tag w:val="$classification"/>
              </w:sdtPr>
              <w:sdtContent>
                <w:r>
                  <w:rPr>
                    <w:highlight w:val="yellow"/>
                  </w:rPr>
                  <w:t>&lt;classification&gt;</w:t>
                </w:r>
              </w:sdtContent>
            </w:sdt>
          </w:p>
        </w:tc>
      </w:tr>
    </w:tbl>
    <w:p/>
    <w:p>
      <w:pPr>
        <w:pStyle w:val="Heading1"/>
      </w:pPr>
      <w:r>
        <w:t>Purpose</w:t>
      </w:r>
    </w:p>
    <w:p>
      <w:r>
        <w:t xml:space="preserve">Vendors that touch </w:t>
      </w:r>
      <w:sdt>
        <w:sdtPr>
          <w:alias w:val="name of the service"/>
          <w:tag w:val="system_name"/>
        </w:sdtPr>
        <w:sdtContent>
          <w:r>
            <w:rPr>
              <w:highlight w:val="yellow"/>
            </w:rPr>
            <w:t>&lt;name of the service&gt;</w:t>
          </w:r>
        </w:sdtContent>
      </w:sdt>
      <w:r>
        <w:t xml:space="preserve"> or customer data are assessed before they are used and reviewed while they are, because their security is part of ours.</w:t>
      </w:r>
    </w:p>
    <w:p>
      <w:pPr>
        <w:pStyle w:val="Heading1"/>
      </w:pPr>
      <w:r>
        <w:t>Before using a vendor</w:t>
      </w:r>
    </w:p>
    <w:p>
      <w:pPr>
        <w:pStyle w:val="ListBullet"/>
      </w:pPr>
      <w:r>
        <w:t>The requester records the vendor, what it will do and what data it will hold.</w:t>
      </w:r>
    </w:p>
    <w:p>
      <w:pPr>
        <w:pStyle w:val="ListBullet"/>
      </w:pPr>
      <w:r>
        <w:t xml:space="preserve">The </w:t>
      </w:r>
      <w:sdt>
        <w:sdtPr>
          <w:alias w:val="security owner role"/>
          <w:tag w:val="security_owner"/>
        </w:sdtPr>
        <w:sdtContent>
          <w:r>
            <w:rPr>
              <w:highlight w:val="yellow"/>
            </w:rPr>
            <w:t>&lt;security owner role&gt;</w:t>
          </w:r>
        </w:sdtContent>
      </w:sdt>
      <w:r>
        <w:t xml:space="preserve"> rates the vendor's criticality and asks for assurance to match: a SOC 2 report or ISO 27001 certificate for critical vendors, a questionnaire for others.</w:t>
      </w:r>
    </w:p>
    <w:p>
      <w:pPr>
        <w:pStyle w:val="ListBullet"/>
      </w:pPr>
      <w:r>
        <w:t xml:space="preserve">Contracts with vendors that hold customer data include confidentiality, security, breach notification within </w:t>
      </w:r>
      <w:sdt>
        <w:sdtPr>
          <w:alias w:val="vendor breach notice"/>
          <w:tag w:val="09.b1"/>
        </w:sdtPr>
        <w:sdtContent>
          <w:r>
            <w:rPr>
              <w:highlight w:val="yellow"/>
            </w:rPr>
            <w:t>&lt;vendor breach notice&gt;</w:t>
          </w:r>
        </w:sdtContent>
      </w:sdt>
      <w:r>
        <w:t>, and deletion at the end of the contract.</w:t>
      </w:r>
    </w:p>
    <w:p>
      <w:pPr>
        <w:pStyle w:val="Heading1"/>
      </w:pPr>
      <w:r>
        <w:t>While using a vendor</w:t>
      </w:r>
    </w:p>
    <w:p>
      <w:pPr>
        <w:pStyle w:val="ListBullet"/>
      </w:pPr>
      <w:r>
        <w:t xml:space="preserve">Critical vendors are reviewed </w:t>
      </w:r>
      <w:sdt>
        <w:sdtPr>
          <w:alias w:val="vendor review frequency"/>
          <w:tag w:val="vendor_review"/>
        </w:sdtPr>
        <w:sdtContent>
          <w:r>
            <w:rPr>
              <w:highlight w:val="yellow"/>
            </w:rPr>
            <w:t>&lt;vendor review frequency&gt;</w:t>
          </w:r>
        </w:sdtContent>
      </w:sdt>
      <w:r>
        <w:t>: their latest SOC report is read, exceptions noted, and the controls they expect from us confirmed.</w:t>
      </w:r>
    </w:p>
    <w:p>
      <w:pPr>
        <w:pStyle w:val="ListBullet"/>
      </w:pPr>
      <w:r>
        <w:t>Vendors on which our own controls rely are subservice organisations. Their SOC reports are reviewed and kept with our audit evidence.</w:t>
      </w:r>
    </w:p>
    <w:p>
      <w:pPr>
        <w:pStyle w:val="ListBullet"/>
      </w:pPr>
      <w:r>
        <w:t>When a vendor is no longer used, its access is removed and deletion of our data is confirmed.</w:t>
      </w:r>
    </w:p>
    <w:p>
      <w:pPr>
        <w:pStyle w:val="Heading1"/>
      </w:pPr>
      <w:r>
        <w:t>Vendors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aption w:val="source:vendors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Vendor</w:t>
            </w:r>
          </w:p>
        </w:tc>
        <w:tc>
          <w:tcPr>
            <w:tcW w:type="dxa" w:w="2880"/>
          </w:tcPr>
          <w:p>
            <w:r>
              <w:t>Assurance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&lt;Service&gt;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&lt;Vendor&gt;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&lt;Assurance&gt;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highlight w:val="yellow"/>
          </w:rPr>
          <w:t>&lt;Company name&gt;</w:t>
        </w:r>
      </w:sdtContent>
    </w:sdt>
    <w:r>
      <w:t xml:space="preserve">  |  Vendor Management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