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How to use this template</w:t>
      </w:r>
    </w:p>
    <w:p>
      <w:r>
        <w:t>Yellow &lt;placeholders&gt; are where your own details go. Fill them in on the Templates tab in Offset Attest and download the document filled in, or edit it here in Word.</w:t>
      </w:r>
    </w:p>
    <w:p>
      <w:r>
        <w:t>Change anything that does not match what you really do. Your CPA firm will test what this document says, so a promise you do not keep becomes an exception in your SOC report.</w:t>
      </w:r>
    </w:p>
    <w:p>
      <w:r>
        <w:t>Relevant criteria: C1.1, C1.2, CC6.5.</w:t>
      </w:r>
    </w:p>
    <w:p>
      <w:r>
        <w:br w:type="page"/>
      </w:r>
    </w:p>
    <w:p>
      <w:pPr>
        <w:pStyle w:val="Title"/>
      </w:pPr>
      <w:sdt>
        <w:sdtPr>
          <w:alias w:val="Company name"/>
          <w:tag w:val="company"/>
        </w:sdtPr>
        <w:sdtContent>
          <w:r>
            <w:rPr>
              <w:highlight w:val="yellow"/>
            </w:rPr>
            <w:t>&lt;Company name&gt;</w:t>
          </w:r>
        </w:sdtContent>
      </w:sdt>
      <w:r>
        <w:t xml:space="preserve"> Data Classification and Retention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sdt>
              <w:sdtPr>
                <w:alias w:val="owner"/>
                <w:tag w:val="$owner"/>
              </w:sdtPr>
              <w:sdtContent>
                <w:r>
                  <w:rPr>
                    <w:highlight w:val="yellow"/>
                  </w:rPr>
                  <w:t>&lt;owner&gt;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Approver</w:t>
            </w:r>
          </w:p>
        </w:tc>
        <w:tc>
          <w:tcPr>
            <w:tcW w:type="dxa" w:w="4320"/>
          </w:tcPr>
          <w:p>
            <w:sdt>
              <w:sdtPr>
                <w:alias w:val="approver"/>
                <w:tag w:val="$approver"/>
              </w:sdtPr>
              <w:sdtContent>
                <w:r>
                  <w:rPr>
                    <w:highlight w:val="yellow"/>
                  </w:rPr>
                  <w:t>&lt;approver&gt;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sdt>
              <w:sdtPr>
                <w:alias w:val="version"/>
                <w:tag w:val="$version"/>
              </w:sdtPr>
              <w:sdtContent>
                <w:r>
                  <w:rPr>
                    <w:highlight w:val="yellow"/>
                  </w:rPr>
                  <w:t>&lt;version&gt;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sdt>
              <w:sdtPr>
                <w:alias w:val="effective date"/>
                <w:tag w:val="$approval_date"/>
              </w:sdtPr>
              <w:sdtContent>
                <w:r>
                  <w:rPr>
                    <w:highlight w:val="yellow"/>
                  </w:rPr>
                  <w:t>&lt;effective date&gt;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sdt>
              <w:sdtPr>
                <w:alias w:val="next review"/>
                <w:tag w:val="$next_review"/>
              </w:sdtPr>
              <w:sdtContent>
                <w:r>
                  <w:rPr>
                    <w:highlight w:val="yellow"/>
                  </w:rPr>
                  <w:t>&lt;next review&gt;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sdt>
              <w:sdtPr>
                <w:alias w:val="classification"/>
                <w:tag w:val="$classification"/>
              </w:sdtPr>
              <w:sdtContent>
                <w:r>
                  <w:rPr>
                    <w:highlight w:val="yellow"/>
                  </w:rPr>
                  <w:t>&lt;classification&gt;</w:t>
                </w:r>
              </w:sdtContent>
            </w:sdt>
          </w:p>
        </w:tc>
      </w:tr>
    </w:tbl>
    <w:p/>
    <w:p>
      <w:pPr>
        <w:pStyle w:val="Heading1"/>
      </w:pPr>
      <w:r>
        <w:t>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Examples</w:t>
            </w:r>
          </w:p>
        </w:tc>
        <w:tc>
          <w:tcPr>
            <w:tcW w:type="dxa" w:w="2880"/>
          </w:tcPr>
          <w:p>
            <w:r>
              <w:t>Handling</w:t>
            </w:r>
          </w:p>
        </w:tc>
      </w:tr>
      <w:tr>
        <w:tc>
          <w:tcPr>
            <w:tcW w:type="dxa" w:w="2880"/>
          </w:tcPr>
          <w:p>
            <w:r>
              <w:t>Restricted</w:t>
            </w:r>
          </w:p>
        </w:tc>
        <w:tc>
          <w:tcPr>
            <w:tcW w:type="dxa" w:w="2880"/>
          </w:tcPr>
          <w:p>
            <w:r>
              <w:t>Customer data, credentials, encryption keys</w:t>
            </w:r>
          </w:p>
        </w:tc>
        <w:tc>
          <w:tcPr>
            <w:tcW w:type="dxa" w:w="2880"/>
          </w:tcPr>
          <w:p>
            <w:r>
              <w:t>Encrypted, access on a need-to-know basis, never on personal devices</w:t>
            </w:r>
          </w:p>
        </w:tc>
      </w:tr>
      <w:tr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>
              <w:t>Contracts, source code, internal reports</w:t>
            </w:r>
          </w:p>
        </w:tc>
        <w:tc>
          <w:tcPr>
            <w:tcW w:type="dxa" w:w="2880"/>
          </w:tcPr>
          <w:p>
            <w:r>
              <w:t>Company systems only, shared with care</w:t>
            </w:r>
          </w:p>
        </w:tc>
      </w:tr>
      <w:tr>
        <w:tc>
          <w:tcPr>
            <w:tcW w:type="dxa" w:w="2880"/>
          </w:tcPr>
          <w:p>
            <w:r>
              <w:t>Internal</w:t>
            </w:r>
          </w:p>
        </w:tc>
        <w:tc>
          <w:tcPr>
            <w:tcW w:type="dxa" w:w="2880"/>
          </w:tcPr>
          <w:p>
            <w:r>
              <w:t>Policies, procedures, internal messages</w:t>
            </w:r>
          </w:p>
        </w:tc>
        <w:tc>
          <w:tcPr>
            <w:tcW w:type="dxa" w:w="2880"/>
          </w:tcPr>
          <w:p>
            <w:r>
              <w:t>Company systems only</w:t>
            </w:r>
          </w:p>
        </w:tc>
      </w:tr>
      <w:tr>
        <w:tc>
          <w:tcPr>
            <w:tcW w:type="dxa" w:w="2880"/>
          </w:tcPr>
          <w:p>
            <w:r>
              <w:t>Public</w:t>
            </w:r>
          </w:p>
        </w:tc>
        <w:tc>
          <w:tcPr>
            <w:tcW w:type="dxa" w:w="2880"/>
          </w:tcPr>
          <w:p>
            <w:r>
              <w:t>Website, marketing material</w:t>
            </w:r>
          </w:p>
        </w:tc>
        <w:tc>
          <w:tcPr>
            <w:tcW w:type="dxa" w:w="2880"/>
          </w:tcPr>
          <w:p>
            <w:r>
              <w:t>No restrictions</w:t>
            </w:r>
          </w:p>
        </w:tc>
      </w:tr>
    </w:tbl>
    <w:p/>
    <w:p>
      <w:pPr>
        <w:pStyle w:val="Heading1"/>
      </w:pPr>
      <w:r>
        <w:t>Handling</w:t>
      </w:r>
    </w:p>
    <w:p>
      <w:r>
        <w:t>Information is labelled or recorded with its class, and handled according to the table above. Customer data is Restricted unless the customer agrees otherwise.</w:t>
      </w:r>
    </w:p>
    <w:p>
      <w:pPr>
        <w:pStyle w:val="Heading1"/>
      </w:pPr>
      <w:r>
        <w:t>Retention</w:t>
      </w:r>
    </w:p>
    <w:p>
      <w:pPr>
        <w:pStyle w:val="ListBullet"/>
      </w:pPr>
      <w:r>
        <w:t xml:space="preserve">Customer data is deleted within </w:t>
      </w:r>
      <w:sdt>
        <w:sdtPr>
          <w:alias w:val="deletion period"/>
          <w:tag w:val="data_after_contract"/>
        </w:sdtPr>
        <w:sdtContent>
          <w:r>
            <w:rPr>
              <w:highlight w:val="yellow"/>
            </w:rPr>
            <w:t>&lt;deletion period&gt;</w:t>
          </w:r>
        </w:sdtContent>
      </w:sdt>
      <w:r>
        <w:t xml:space="preserve"> of a contract ending, or sooner when the customer asks.</w:t>
      </w:r>
    </w:p>
    <w:p>
      <w:pPr>
        <w:pStyle w:val="ListBullet"/>
      </w:pPr>
      <w:r>
        <w:t xml:space="preserve">Security logs are kept for </w:t>
      </w:r>
      <w:sdt>
        <w:sdtPr>
          <w:alias w:val="log retention"/>
          <w:tag w:val="log_retention"/>
        </w:sdtPr>
        <w:sdtContent>
          <w:r>
            <w:rPr>
              <w:highlight w:val="yellow"/>
            </w:rPr>
            <w:t>&lt;log retention&gt;</w:t>
          </w:r>
        </w:sdtContent>
      </w:sdt>
      <w:r>
        <w:t>.</w:t>
      </w:r>
    </w:p>
    <w:p>
      <w:pPr>
        <w:pStyle w:val="ListBullet"/>
      </w:pPr>
      <w:r>
        <w:t xml:space="preserve">Other records are kept for </w:t>
      </w:r>
      <w:sdt>
        <w:sdtPr>
          <w:alias w:val="default retention"/>
          <w:tag w:val="10.b1"/>
        </w:sdtPr>
        <w:sdtContent>
          <w:r>
            <w:rPr>
              <w:highlight w:val="yellow"/>
            </w:rPr>
            <w:t>&lt;default retention&gt;</w:t>
          </w:r>
        </w:sdtContent>
      </w:sdt>
      <w:r>
        <w:t xml:space="preserve"> unless the law requires longer.</w:t>
      </w:r>
    </w:p>
    <w:p>
      <w:pPr>
        <w:pStyle w:val="Heading1"/>
      </w:pPr>
      <w:r>
        <w:t>Disposal</w:t>
      </w:r>
    </w:p>
    <w:p>
      <w:r>
        <w:t>Data is deleted so it cannot be recovered. Devices and media are wiped or destroyed by an approved provider, and a certificate of destruction is kept.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sdt>
      <w:sdtPr>
        <w:alias w:val="Company name"/>
        <w:tag w:val="company"/>
      </w:sdtPr>
      <w:sdtContent>
        <w:r>
          <w:rPr>
            <w:highlight w:val="yellow"/>
          </w:rPr>
          <w:t>&lt;Company name&gt;</w:t>
        </w:r>
      </w:sdtContent>
    </w:sdt>
    <w:r>
      <w:t xml:space="preserve">  |  Data Classification and Retention Policy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