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CC1.4, CC2.2.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Security Awareness and Training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Hiring</w:t>
      </w:r>
    </w:p>
    <w:p>
      <w:r>
        <w:t xml:space="preserve">Before someone joins, </w:t>
      </w: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checks their identity, right to work and references, and carries out a background check where the law allows, in proportion to the role.</w:t>
      </w:r>
    </w:p>
    <w:p>
      <w:pPr>
        <w:pStyle w:val="Heading1"/>
      </w:pPr>
      <w:r>
        <w:t>Training</w:t>
      </w:r>
    </w:p>
    <w:p>
      <w:pPr>
        <w:pStyle w:val="ListBullet"/>
      </w:pPr>
      <w:r>
        <w:t xml:space="preserve">Everyone completes security awareness training within </w:t>
      </w:r>
      <w:sdt>
        <w:sdtPr>
          <w:alias w:val="onboarding training deadline"/>
          <w:tag w:val="11.b1"/>
        </w:sdtPr>
        <w:sdtContent>
          <w:r>
            <w:rPr>
              <w:highlight w:val="yellow"/>
            </w:rPr>
            <w:t>&lt;onboarding training deadline&gt;</w:t>
          </w:r>
        </w:sdtContent>
      </w:sdt>
      <w:r>
        <w:t xml:space="preserve"> of joining and </w:t>
      </w:r>
      <w:sdt>
        <w:sdtPr>
          <w:alias w:val="training frequency"/>
          <w:tag w:val="training_cycle"/>
        </w:sdtPr>
        <w:sdtContent>
          <w:r>
            <w:rPr>
              <w:highlight w:val="yellow"/>
            </w:rPr>
            <w:t>&lt;training frequency&gt;</w:t>
          </w:r>
        </w:sdtContent>
      </w:sdt>
      <w:r>
        <w:t xml:space="preserve"> after that.</w:t>
      </w:r>
    </w:p>
    <w:p>
      <w:pPr>
        <w:pStyle w:val="ListBullet"/>
      </w:pPr>
      <w:r>
        <w:t>Engineers also complete secure development training.</w:t>
      </w:r>
    </w:p>
    <w:p>
      <w:pPr>
        <w:pStyle w:val="ListBullet"/>
      </w:pPr>
      <w:r>
        <w:t xml:space="preserve">Phishing simulations are run at least </w:t>
      </w:r>
      <w:sdt>
        <w:sdtPr>
          <w:alias w:val="phishing test frequency"/>
          <w:tag w:val="11.b2"/>
        </w:sdtPr>
        <w:sdtContent>
          <w:r>
            <w:rPr>
              <w:highlight w:val="yellow"/>
            </w:rPr>
            <w:t>&lt;phishing test frequency&gt;</w:t>
          </w:r>
        </w:sdtContent>
      </w:sdt>
      <w:r>
        <w:t>, and people who click are offered extra training.</w:t>
      </w:r>
    </w:p>
    <w:p>
      <w:pPr>
        <w:pStyle w:val="Heading1"/>
      </w:pPr>
      <w:r>
        <w:t>Record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source:training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Person</w:t>
            </w:r>
          </w:p>
        </w:tc>
        <w:tc>
          <w:tcPr>
            <w:tcW w:type="dxa" w:w="1440"/>
          </w:tcPr>
          <w:p>
            <w:r>
              <w:t>Course</w:t>
            </w:r>
          </w:p>
        </w:tc>
        <w:tc>
          <w:tcPr>
            <w:tcW w:type="dxa" w:w="1440"/>
          </w:tcPr>
          <w:p>
            <w:r>
              <w:t>Audience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Next due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&lt;Person&gt;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&lt;Course&gt;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&lt;Audience&gt;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&lt;Completed&gt;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&lt;Next due&gt;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&lt;Result&gt;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Security Awareness and Training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