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How to use this template</w:t>
      </w:r>
    </w:p>
    <w:p>
      <w:r>
        <w:t>Yellow &lt;placeholders&gt; are where your own details go. Fill them in on the Templates tab in Offset Attest and download the document filled in, or edit it here in Word.</w:t>
      </w:r>
    </w:p>
    <w:p>
      <w:r>
        <w:t>Change anything that does not match what you really do. Your CPA firm will test what this document says, so a promise you do not keep becomes an exception in your SOC report.</w:t>
      </w:r>
    </w:p>
    <w:p>
      <w:r>
        <w:t>Relevant criteria: CC4.1, CC4.2, CC5.1.</w:t>
      </w:r>
    </w:p>
    <w:p>
      <w:r>
        <w:br w:type="page"/>
      </w:r>
    </w:p>
    <w:p>
      <w:pPr>
        <w:pStyle w:val="Title"/>
      </w:pPr>
      <w:sdt>
        <w:sdtPr>
          <w:alias w:val="Company name"/>
          <w:tag w:val="company"/>
        </w:sdtPr>
        <w:sdtContent>
          <w:r>
            <w:rPr>
              <w:highlight w:val="yellow"/>
            </w:rPr>
            <w:t>&lt;Company name&gt;</w:t>
          </w:r>
        </w:sdtContent>
      </w:sdt>
      <w:r>
        <w:t xml:space="preserve"> Monitoring and Internal Review Procedure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sdt>
              <w:sdtPr>
                <w:alias w:val="owner"/>
                <w:tag w:val="$owner"/>
              </w:sdtPr>
              <w:sdtContent>
                <w:r>
                  <w:rPr>
                    <w:highlight w:val="yellow"/>
                  </w:rPr>
                  <w:t>&lt;owner&gt;</w:t>
                </w:r>
              </w:sdtContent>
            </w:sdt>
          </w:p>
        </w:tc>
      </w:tr>
      <w:tr>
        <w:tc>
          <w:tcPr>
            <w:tcW w:type="dxa" w:w="4320"/>
          </w:tcPr>
          <w:p>
            <w:r>
              <w:t>Approver</w:t>
            </w:r>
          </w:p>
        </w:tc>
        <w:tc>
          <w:tcPr>
            <w:tcW w:type="dxa" w:w="4320"/>
          </w:tcPr>
          <w:p>
            <w:sdt>
              <w:sdtPr>
                <w:alias w:val="approver"/>
                <w:tag w:val="$approver"/>
              </w:sdtPr>
              <w:sdtContent>
                <w:r>
                  <w:rPr>
                    <w:highlight w:val="yellow"/>
                  </w:rPr>
                  <w:t>&lt;approver&gt;</w:t>
                </w:r>
              </w:sdtContent>
            </w:sdt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sdt>
              <w:sdtPr>
                <w:alias w:val="version"/>
                <w:tag w:val="$version"/>
              </w:sdtPr>
              <w:sdtContent>
                <w:r>
                  <w:rPr>
                    <w:highlight w:val="yellow"/>
                  </w:rPr>
                  <w:t>&lt;version&gt;</w:t>
                </w:r>
              </w:sdtContent>
            </w:sdt>
          </w:p>
        </w:tc>
      </w:tr>
      <w:tr>
        <w:tc>
          <w:tcPr>
            <w:tcW w:type="dxa" w:w="4320"/>
          </w:tcPr>
          <w:p>
            <w:r>
              <w:t>Effective date</w:t>
            </w:r>
          </w:p>
        </w:tc>
        <w:tc>
          <w:tcPr>
            <w:tcW w:type="dxa" w:w="4320"/>
          </w:tcPr>
          <w:p>
            <w:sdt>
              <w:sdtPr>
                <w:alias w:val="effective date"/>
                <w:tag w:val="$approval_date"/>
              </w:sdtPr>
              <w:sdtContent>
                <w:r>
                  <w:rPr>
                    <w:highlight w:val="yellow"/>
                  </w:rPr>
                  <w:t>&lt;effective date&gt;</w:t>
                </w:r>
              </w:sdtContent>
            </w:sdt>
          </w:p>
        </w:tc>
      </w:tr>
      <w:tr>
        <w:tc>
          <w:tcPr>
            <w:tcW w:type="dxa" w:w="4320"/>
          </w:tcPr>
          <w:p>
            <w:r>
              <w:t>Next review</w:t>
            </w:r>
          </w:p>
        </w:tc>
        <w:tc>
          <w:tcPr>
            <w:tcW w:type="dxa" w:w="4320"/>
          </w:tcPr>
          <w:p>
            <w:sdt>
              <w:sdtPr>
                <w:alias w:val="next review"/>
                <w:tag w:val="$next_review"/>
              </w:sdtPr>
              <w:sdtContent>
                <w:r>
                  <w:rPr>
                    <w:highlight w:val="yellow"/>
                  </w:rPr>
                  <w:t>&lt;next review&gt;</w:t>
                </w:r>
              </w:sdtContent>
            </w:sdt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sdt>
              <w:sdtPr>
                <w:alias w:val="classification"/>
                <w:tag w:val="$classification"/>
              </w:sdtPr>
              <w:sdtContent>
                <w:r>
                  <w:rPr>
                    <w:highlight w:val="yellow"/>
                  </w:rPr>
                  <w:t>&lt;classification&gt;</w:t>
                </w:r>
              </w:sdtContent>
            </w:sdt>
          </w:p>
        </w:tc>
      </w:tr>
    </w:tbl>
    <w:p/>
    <w:p>
      <w:pPr>
        <w:pStyle w:val="Heading1"/>
      </w:pPr>
      <w:r>
        <w:t>Purpose</w:t>
      </w:r>
    </w:p>
    <w:p>
      <w:sdt>
        <w:sdtPr>
          <w:alias w:val="Company name"/>
          <w:tag w:val="company"/>
        </w:sdtPr>
        <w:sdtContent>
          <w:r>
            <w:rPr>
              <w:highlight w:val="yellow"/>
            </w:rPr>
            <w:t>&lt;Company name&gt;</w:t>
          </w:r>
        </w:sdtContent>
      </w:sdt>
      <w:r>
        <w:t xml:space="preserve"> checks that its controls keep working between SOC examinations, so that weaknesses are found and fixed by us and not reported by the auditor.</w:t>
      </w:r>
    </w:p>
    <w:p>
      <w:pPr>
        <w:pStyle w:val="Heading1"/>
      </w:pPr>
      <w:r>
        <w:t>Ongoing monitoring</w:t>
      </w:r>
    </w:p>
    <w:p>
      <w:pPr>
        <w:pStyle w:val="ListBullet"/>
      </w:pPr>
      <w:r>
        <w:t>Each control owner checks their own controls each time they run, and keeps the evidence.</w:t>
      </w:r>
    </w:p>
    <w:p>
      <w:pPr>
        <w:pStyle w:val="ListBullet"/>
      </w:pPr>
      <w:r>
        <w:t xml:space="preserve">The </w:t>
      </w:r>
      <w:sdt>
        <w:sdtPr>
          <w:alias w:val="security owner role"/>
          <w:tag w:val="security_owner"/>
        </w:sdtPr>
        <w:sdtContent>
          <w:r>
            <w:rPr>
              <w:highlight w:val="yellow"/>
            </w:rPr>
            <w:t>&lt;security owner role&gt;</w:t>
          </w:r>
        </w:sdtContent>
      </w:sdt>
      <w:r>
        <w:t xml:space="preserve"> tests a sample of controls every </w:t>
      </w:r>
      <w:sdt>
        <w:sdtPr>
          <w:alias w:val="self-test frequency"/>
          <w:tag w:val="12.b1"/>
        </w:sdtPr>
        <w:sdtContent>
          <w:r>
            <w:rPr>
              <w:highlight w:val="yellow"/>
            </w:rPr>
            <w:t>&lt;self-test frequency&gt;</w:t>
          </w:r>
        </w:sdtContent>
      </w:sdt>
      <w:r>
        <w:t xml:space="preserve"> and records each result in Offset Attest.</w:t>
      </w:r>
    </w:p>
    <w:p>
      <w:pPr>
        <w:pStyle w:val="ListBullet"/>
      </w:pPr>
      <w:r>
        <w:t>Automated monitoring alerts on configuration drift, failed backups and missing endpoint protection.</w:t>
      </w:r>
    </w:p>
    <w:p>
      <w:pPr>
        <w:pStyle w:val="Heading1"/>
      </w:pPr>
      <w:r>
        <w:t>Internal reviews</w:t>
      </w:r>
    </w:p>
    <w:p>
      <w:r>
        <w:t xml:space="preserve">At least once a year, someone independent of the control owners reviews the programme: </w:t>
      </w:r>
      <w:sdt>
        <w:sdtPr>
          <w:alias w:val="who reviews"/>
          <w:tag w:val="12.b2"/>
        </w:sdtPr>
        <w:sdtContent>
          <w:r>
            <w:rPr>
              <w:highlight w:val="yellow"/>
            </w:rPr>
            <w:t>&lt;who reviews&gt;</w:t>
          </w:r>
        </w:sdtContent>
      </w:sdt>
      <w:r>
        <w:t xml:space="preserve">. The review is planned in advance and its results reported to the </w:t>
      </w:r>
      <w:sdt>
        <w:sdtPr>
          <w:alias w:val="approver role"/>
          <w:tag w:val="approver"/>
        </w:sdtPr>
        <w:sdtContent>
          <w:r>
            <w:rPr>
              <w:highlight w:val="yellow"/>
            </w:rPr>
            <w:t>&lt;approver role&gt;</w:t>
          </w:r>
        </w:sdtContent>
      </w:sdt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aption w:val="source:audits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Review</w:t>
            </w:r>
          </w:p>
        </w:tc>
        <w:tc>
          <w:tcPr>
            <w:tcW w:type="dxa" w:w="1728"/>
          </w:tcPr>
          <w:p>
            <w:r>
              <w:t>Scope</w:t>
            </w:r>
          </w:p>
        </w:tc>
        <w:tc>
          <w:tcPr>
            <w:tcW w:type="dxa" w:w="1728"/>
          </w:tcPr>
          <w:p>
            <w:r>
              <w:t>Led by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rPr>
                <w:highlight w:val="yellow"/>
              </w:rPr>
              <w:t>&lt;Review&gt;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&lt;Scope&gt;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&lt;Led by&gt;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&lt;Date&gt;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&lt;Status&gt;</w:t>
            </w:r>
          </w:p>
        </w:tc>
      </w:tr>
    </w:tbl>
    <w:p/>
    <w:p>
      <w:pPr>
        <w:pStyle w:val="Heading1"/>
      </w:pPr>
      <w:r>
        <w:t>Reporting and fixing weaknesses</w:t>
      </w:r>
    </w:p>
    <w:p>
      <w:pPr>
        <w:pStyle w:val="ListBullet"/>
      </w:pPr>
      <w:r>
        <w:t>Every failed test, review finding or auditor exception is recorded with an owner and a due date.</w:t>
      </w:r>
    </w:p>
    <w:p>
      <w:pPr>
        <w:pStyle w:val="ListBullet"/>
      </w:pPr>
      <w:r>
        <w:t xml:space="preserve">Open items are reported to the </w:t>
      </w:r>
      <w:sdt>
        <w:sdtPr>
          <w:alias w:val="approver role"/>
          <w:tag w:val="approver"/>
        </w:sdtPr>
        <w:sdtContent>
          <w:r>
            <w:rPr>
              <w:highlight w:val="yellow"/>
            </w:rPr>
            <w:t>&lt;approver role&gt;</w:t>
          </w:r>
        </w:sdtContent>
      </w:sdt>
      <w:r>
        <w:t xml:space="preserve"> at least every quarter.</w:t>
      </w:r>
    </w:p>
    <w:p>
      <w:pPr>
        <w:pStyle w:val="ListBullet"/>
      </w:pPr>
      <w:r>
        <w:t>An item is closed only when the fix has been made and the control tested again.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aption w:val="source:findings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Ref</w:t>
            </w:r>
          </w:p>
        </w:tc>
        <w:tc>
          <w:tcPr>
            <w:tcW w:type="dxa" w:w="1728"/>
          </w:tcPr>
          <w:p>
            <w:r>
              <w:t>Raised</w:t>
            </w:r>
          </w:p>
        </w:tc>
        <w:tc>
          <w:tcPr>
            <w:tcW w:type="dxa" w:w="1728"/>
          </w:tcPr>
          <w:p>
            <w:r>
              <w:t>Finding</w:t>
            </w:r>
          </w:p>
        </w:tc>
        <w:tc>
          <w:tcPr>
            <w:tcW w:type="dxa" w:w="1728"/>
          </w:tcPr>
          <w:p>
            <w:r>
              <w:t>Owner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rPr>
                <w:highlight w:val="yellow"/>
              </w:rPr>
              <w:t>&lt;Ref&gt;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&lt;Raised&gt;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&lt;Finding&gt;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&lt;Owner&gt;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&lt;Status&gt;</w:t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sdt>
      <w:sdtPr>
        <w:alias w:val="Company name"/>
        <w:tag w:val="company"/>
      </w:sdtPr>
      <w:sdtContent>
        <w:r>
          <w:rPr>
            <w:highlight w:val="yellow"/>
          </w:rPr>
          <w:t>&lt;Company name&gt;</w:t>
        </w:r>
      </w:sdtContent>
    </w:sdt>
    <w:r>
      <w:t xml:space="preserve">  |  Monitoring and Internal Review Procedure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