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Governance and Committee Charter</w:t>
      </w:r>
    </w:p>
    <w:p>
      <w:pPr>
        <w:keepNext w:val="0"/>
        <w:spacing w:before="0" w:after="200" w:line="240" w:lineRule="auto"/>
      </w:pPr>
      <w:r>
        <w:rPr>
          <w:rFonts w:ascii="Arial" w:hAnsi="Arial" w:cs="Arial" w:eastAsia="Arial"/>
          <w:b w:val="0"/>
          <w:i w:val="0"/>
          <w:color w:val="5B6678"/>
          <w:sz w:val="21"/>
        </w:rPr>
        <w:t>How cyber security is directed and controlled: the board, the committee, the CISO and the cyber security function.</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SAMA-01</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sets up how cyber security is directed and controlled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 names the cyber security committee, says who sits on it and how it works, and sets out the cyber security function, the CISO and the independence between cyber security and IT. It answers domain 3.1.1 of the SAMA Cyber Security Framework.</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 xml:space="preserve">It applies to the whole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its branches and its subsidiaries that fall under the SAMA Cyber Security Framework.</w:t>
      </w:r>
    </w:p>
    <w:p>
      <w:pPr>
        <w:keepNext/>
        <w:spacing w:before="280" w:after="120" w:line="264" w:lineRule="auto"/>
      </w:pPr>
      <w:r>
        <w:rPr>
          <w:rFonts w:ascii="Arial" w:hAnsi="Arial" w:cs="Arial" w:eastAsia="Arial"/>
          <w:b/>
          <w:i w:val="0"/>
          <w:color w:val="1B253B"/>
          <w:sz w:val="28"/>
        </w:rPr>
        <w:t>3. The governance structure</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016"/>
            <w:shd w:val="clear" w:color="auto" w:fill="DCE6F5"/>
          </w:tcPr>
          <w:p>
            <w:pPr>
              <w:keepNext w:val="0"/>
              <w:spacing w:before="40" w:after="40" w:line="240" w:lineRule="auto"/>
            </w:pPr>
            <w:r>
              <w:rPr>
                <w:rFonts w:ascii="Arial" w:hAnsi="Arial" w:cs="Arial" w:eastAsia="Arial"/>
                <w:b/>
                <w:i w:val="0"/>
                <w:color w:val="1B253B"/>
                <w:sz w:val="18"/>
              </w:rPr>
              <w:t>Level</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Who</w:t>
            </w:r>
          </w:p>
        </w:tc>
        <w:tc>
          <w:tcPr>
            <w:tcW w:type="dxa" w:w="4320"/>
            <w:shd w:val="clear" w:color="auto" w:fill="DCE6F5"/>
          </w:tcPr>
          <w:p>
            <w:pPr>
              <w:keepNext w:val="0"/>
              <w:spacing w:before="40" w:after="40" w:line="240" w:lineRule="auto"/>
            </w:pPr>
            <w:r>
              <w:rPr>
                <w:rFonts w:ascii="Arial" w:hAnsi="Arial" w:cs="Arial" w:eastAsia="Arial"/>
                <w:b/>
                <w:i w:val="0"/>
                <w:color w:val="1B253B"/>
                <w:sz w:val="18"/>
              </w:rPr>
              <w:t>What they do</w:t>
            </w:r>
          </w:p>
        </w:tc>
      </w:tr>
      <w:tr>
        <w:trPr>
          <w:cantSplit w:val="true"/>
        </w:trPr>
        <w:tc>
          <w:tcPr>
            <w:tcW w:type="dxa" w:w="2016"/>
          </w:tcPr>
          <w:p>
            <w:pPr>
              <w:keepNext w:val="0"/>
              <w:spacing w:before="40" w:after="40" w:line="240" w:lineRule="auto"/>
            </w:pPr>
            <w:r>
              <w:rPr>
                <w:rFonts w:ascii="Arial" w:hAnsi="Arial" w:cs="Arial" w:eastAsia="Arial"/>
                <w:b w:val="0"/>
                <w:i w:val="0"/>
                <w:sz w:val="18"/>
              </w:rPr>
              <w:t>Board</w:t>
            </w:r>
          </w:p>
        </w:tc>
        <w:tc>
          <w:tcPr>
            <w:tcW w:type="dxa" w:w="2880"/>
          </w:tcPr>
          <w:p>
            <w:pPr>
              <w:keepNext w:val="0"/>
              <w:spacing w:before="40" w:after="40" w:line="240" w:lineRule="auto"/>
            </w:pPr>
            <w:sdt>
              <w:sdtPr>
                <w:alias w:val="The board, as you call it"/>
                <w:tag w:val="board_name"/>
              </w:sdtPr>
              <w:sdtContent>
                <w:r>
                  <w:rPr>
                    <w:rFonts w:ascii="Arial" w:hAnsi="Arial" w:cs="Arial" w:eastAsia="Arial"/>
                    <w:b w:val="0"/>
                    <w:i w:val="0"/>
                    <w:sz w:val="18"/>
                    <w:highlight w:val="yellow"/>
                  </w:rPr>
                  <w:t>&lt;The Board of Directors&gt;</w:t>
                </w:r>
              </w:sdtContent>
            </w:sdt>
          </w:p>
        </w:tc>
        <w:tc>
          <w:tcPr>
            <w:tcW w:type="dxa" w:w="4320"/>
          </w:tcPr>
          <w:p>
            <w:pPr>
              <w:keepNext w:val="0"/>
              <w:spacing w:before="40" w:after="40" w:line="240" w:lineRule="auto"/>
            </w:pPr>
            <w:r>
              <w:rPr>
                <w:rFonts w:ascii="Arial" w:hAnsi="Arial" w:cs="Arial" w:eastAsia="Arial"/>
                <w:b w:val="0"/>
                <w:i w:val="0"/>
                <w:sz w:val="18"/>
              </w:rPr>
              <w:t>Holds ultimate responsibility for cyber security, mandates the committee, approves its charter and allocates the budget.</w:t>
            </w:r>
          </w:p>
        </w:tc>
      </w:tr>
      <w:tr>
        <w:trPr>
          <w:cantSplit w:val="true"/>
        </w:trPr>
        <w:tc>
          <w:tcPr>
            <w:tcW w:type="dxa" w:w="2016"/>
          </w:tcPr>
          <w:p>
            <w:pPr>
              <w:keepNext w:val="0"/>
              <w:spacing w:before="40" w:after="40" w:line="240" w:lineRule="auto"/>
            </w:pPr>
            <w:r>
              <w:rPr>
                <w:rFonts w:ascii="Arial" w:hAnsi="Arial" w:cs="Arial" w:eastAsia="Arial"/>
                <w:b w:val="0"/>
                <w:i w:val="0"/>
                <w:sz w:val="18"/>
              </w:rPr>
              <w:t>Cyber security committee</w:t>
            </w:r>
          </w:p>
        </w:tc>
        <w:tc>
          <w:tcPr>
            <w:tcW w:type="dxa" w:w="2880"/>
          </w:tcPr>
          <w:p>
            <w:pPr>
              <w:keepNext w:val="0"/>
              <w:spacing w:before="40" w:after="40" w:line="240" w:lineRule="auto"/>
            </w:pPr>
            <w:sdt>
              <w:sdtPr>
                <w:alias w:val="Name of the cyber security committee"/>
                <w:tag w:val="committee_name"/>
              </w:sdtPr>
              <w:sdtContent>
                <w:r>
                  <w:rPr>
                    <w:rFonts w:ascii="Arial" w:hAnsi="Arial" w:cs="Arial" w:eastAsia="Arial"/>
                    <w:b w:val="0"/>
                    <w:i w:val="0"/>
                    <w:sz w:val="18"/>
                    <w:highlight w:val="yellow"/>
                  </w:rPr>
                  <w:t>&lt;The cyber security committee&gt;</w:t>
                </w:r>
              </w:sdtContent>
            </w:sdt>
          </w:p>
        </w:tc>
        <w:tc>
          <w:tcPr>
            <w:tcW w:type="dxa" w:w="4320"/>
          </w:tcPr>
          <w:p>
            <w:pPr>
              <w:keepNext w:val="0"/>
              <w:spacing w:before="40" w:after="40" w:line="240" w:lineRule="auto"/>
            </w:pPr>
            <w:r>
              <w:rPr>
                <w:rFonts w:ascii="Arial" w:hAnsi="Arial" w:cs="Arial" w:eastAsia="Arial"/>
                <w:b w:val="0"/>
                <w:i w:val="0"/>
                <w:sz w:val="18"/>
              </w:rPr>
              <w:t>Directs and controls cyber security: approves the strategy, policy and risk process and monitors results.</w:t>
            </w:r>
          </w:p>
        </w:tc>
      </w:tr>
      <w:tr>
        <w:trPr>
          <w:cantSplit w:val="true"/>
        </w:trPr>
        <w:tc>
          <w:tcPr>
            <w:tcW w:type="dxa" w:w="2016"/>
          </w:tcPr>
          <w:p>
            <w:pPr>
              <w:keepNext w:val="0"/>
              <w:spacing w:before="40" w:after="40" w:line="240" w:lineRule="auto"/>
            </w:pPr>
            <w:r>
              <w:rPr>
                <w:rFonts w:ascii="Arial" w:hAnsi="Arial" w:cs="Arial" w:eastAsia="Arial"/>
                <w:b w:val="0"/>
                <w:i w:val="0"/>
                <w:sz w:val="18"/>
              </w:rPr>
              <w:t>Cyber security function</w:t>
            </w:r>
          </w:p>
        </w:tc>
        <w:tc>
          <w:tcPr>
            <w:tcW w:type="dxa" w:w="2880"/>
          </w:tcPr>
          <w:p>
            <w:pPr>
              <w:keepNext w:val="0"/>
              <w:spacing w:before="40" w:after="40" w:line="240" w:lineRule="auto"/>
            </w:pPr>
            <w:r>
              <w:rPr>
                <w:rFonts w:ascii="Arial" w:hAnsi="Arial" w:cs="Arial" w:eastAsia="Arial"/>
                <w:b w:val="0"/>
                <w:i w:val="0"/>
                <w:sz w:val="18"/>
              </w:rPr>
              <w:t xml:space="preserve">Led by the </w:t>
            </w:r>
            <w:sdt>
              <w:sdtPr>
                <w:alias w:val="CISO: job title"/>
                <w:tag w:val="ciso_title"/>
              </w:sdtPr>
              <w:sdtContent>
                <w:r>
                  <w:rPr>
                    <w:rFonts w:ascii="Arial" w:hAnsi="Arial" w:cs="Arial" w:eastAsia="Arial"/>
                    <w:b w:val="0"/>
                    <w:i w:val="0"/>
                    <w:sz w:val="18"/>
                    <w:highlight w:val="yellow"/>
                  </w:rPr>
                  <w:t>&lt;CISO&gt;</w:t>
                </w:r>
              </w:sdtContent>
            </w:sdt>
          </w:p>
        </w:tc>
        <w:tc>
          <w:tcPr>
            <w:tcW w:type="dxa" w:w="4320"/>
          </w:tcPr>
          <w:p>
            <w:pPr>
              <w:keepNext w:val="0"/>
              <w:spacing w:before="40" w:after="40" w:line="240" w:lineRule="auto"/>
            </w:pPr>
            <w:r>
              <w:rPr>
                <w:rFonts w:ascii="Arial" w:hAnsi="Arial" w:cs="Arial" w:eastAsia="Arial"/>
                <w:b w:val="0"/>
                <w:i w:val="0"/>
                <w:sz w:val="18"/>
              </w:rPr>
              <w:t>Runs cyber security day to day, independent of IT.</w:t>
            </w:r>
          </w:p>
        </w:tc>
      </w:tr>
      <w:tr>
        <w:trPr>
          <w:cantSplit w:val="true"/>
        </w:trPr>
        <w:tc>
          <w:tcPr>
            <w:tcW w:type="dxa" w:w="2016"/>
          </w:tcPr>
          <w:p>
            <w:pPr>
              <w:keepNext w:val="0"/>
              <w:spacing w:before="40" w:after="40" w:line="240" w:lineRule="auto"/>
            </w:pPr>
            <w:r>
              <w:rPr>
                <w:rFonts w:ascii="Arial" w:hAnsi="Arial" w:cs="Arial" w:eastAsia="Arial"/>
                <w:b w:val="0"/>
                <w:i w:val="0"/>
                <w:sz w:val="18"/>
              </w:rPr>
              <w:t>Internal audit</w:t>
            </w:r>
          </w:p>
        </w:tc>
        <w:tc>
          <w:tcPr>
            <w:tcW w:type="dxa" w:w="2880"/>
          </w:tcPr>
          <w:p>
            <w:pPr>
              <w:keepNext w:val="0"/>
              <w:spacing w:before="40" w:after="40" w:line="240" w:lineRule="auto"/>
            </w:pPr>
            <w:sdt>
              <w:sdtPr>
                <w:alias w:val="Head of internal audit: name and title"/>
                <w:tag w:val="audit_head"/>
              </w:sdtPr>
              <w:sdtContent>
                <w:r>
                  <w:rPr>
                    <w:rFonts w:ascii="Arial" w:hAnsi="Arial" w:cs="Arial" w:eastAsia="Arial"/>
                    <w:b w:val="0"/>
                    <w:i w:val="0"/>
                    <w:sz w:val="18"/>
                    <w:highlight w:val="yellow"/>
                  </w:rPr>
                  <w:t>&lt;Head of internal audit&gt;</w:t>
                </w:r>
              </w:sdtContent>
            </w:sdt>
          </w:p>
        </w:tc>
        <w:tc>
          <w:tcPr>
            <w:tcW w:type="dxa" w:w="4320"/>
          </w:tcPr>
          <w:p>
            <w:pPr>
              <w:keepNext w:val="0"/>
              <w:spacing w:before="40" w:after="40" w:line="240" w:lineRule="auto"/>
            </w:pPr>
            <w:r>
              <w:rPr>
                <w:rFonts w:ascii="Arial" w:hAnsi="Arial" w:cs="Arial" w:eastAsia="Arial"/>
                <w:b w:val="0"/>
                <w:i w:val="0"/>
                <w:sz w:val="18"/>
              </w:rPr>
              <w:t>Audits cyber security independently.</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The cyber security committee</w:t>
      </w:r>
    </w:p>
    <w:p>
      <w:pPr>
        <w:keepNext/>
        <w:spacing w:before="160" w:after="80" w:line="264" w:lineRule="auto"/>
      </w:pPr>
      <w:r>
        <w:rPr>
          <w:rFonts w:ascii="Arial" w:hAnsi="Arial" w:cs="Arial" w:eastAsia="Arial"/>
          <w:b/>
          <w:i w:val="0"/>
          <w:color w:val="1B253B"/>
          <w:sz w:val="23"/>
        </w:rPr>
        <w:t>Mandate</w:t>
      </w:r>
    </w:p>
    <w:p>
      <w:pPr>
        <w:keepNext w:val="0"/>
        <w:spacing w:before="0" w:after="120" w:line="276" w:lineRule="auto"/>
      </w:pPr>
      <w:r>
        <w:rPr>
          <w:rFonts w:ascii="Arial" w:hAnsi="Arial" w:cs="Arial" w:eastAsia="Arial"/>
          <w:b w:val="0"/>
          <w:i w:val="0"/>
          <w:sz w:val="21"/>
        </w:rPr>
        <w:t xml:space="preserve">The committee was mandated by a resolution of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dated </w:t>
      </w:r>
      <w:sdt>
        <w:sdtPr>
          <w:alias w:val="date"/>
          <w:tag w:val="01.resolution_date"/>
        </w:sdtPr>
        <w:sdtContent>
          <w:r>
            <w:rPr>
              <w:rFonts w:ascii="Arial" w:hAnsi="Arial" w:cs="Arial" w:eastAsia="Arial"/>
              <w:b w:val="0"/>
              <w:i w:val="0"/>
              <w:sz w:val="21"/>
              <w:highlight w:val="yellow"/>
            </w:rPr>
            <w:t>&lt;date&gt;</w:t>
          </w:r>
        </w:sdtContent>
      </w:sdt>
      <w:r>
        <w:rPr>
          <w:rFonts w:ascii="Arial" w:hAnsi="Arial" w:cs="Arial" w:eastAsia="Arial"/>
          <w:b w:val="0"/>
          <w:i w:val="0"/>
          <w:sz w:val="21"/>
        </w:rPr>
        <w:t>. The resolution is kept as a record. The committee's objectives are to direct the organisation's approach to cyber security, to make sure it is resourced and working, and to hold management to account for it.</w:t>
      </w:r>
    </w:p>
    <w:p>
      <w:pPr>
        <w:keepNext/>
        <w:spacing w:before="160" w:after="80" w:line="264" w:lineRule="auto"/>
      </w:pPr>
      <w:r>
        <w:rPr>
          <w:rFonts w:ascii="Arial" w:hAnsi="Arial" w:cs="Arial" w:eastAsia="Arial"/>
          <w:b/>
          <w:i w:val="0"/>
          <w:color w:val="1B253B"/>
          <w:sz w:val="23"/>
        </w:rPr>
        <w:t>Chair and members</w:t>
      </w:r>
    </w:p>
    <w:p>
      <w:pPr>
        <w:keepNext w:val="0"/>
        <w:spacing w:before="0" w:after="120" w:line="276" w:lineRule="auto"/>
      </w:pPr>
      <w:r>
        <w:rPr>
          <w:rFonts w:ascii="Arial" w:hAnsi="Arial" w:cs="Arial" w:eastAsia="Arial"/>
          <w:b w:val="0"/>
          <w:i w:val="0"/>
          <w:sz w:val="21"/>
        </w:rPr>
        <w:t xml:space="preserve">The committee is chaired by </w:t>
      </w:r>
      <w:sdt>
        <w:sdtPr>
          <w:alias w:val="Committee chair: name and role"/>
          <w:tag w:val="committee_chair"/>
        </w:sdtPr>
        <w:sdtContent>
          <w:r>
            <w:rPr>
              <w:rFonts w:ascii="Arial" w:hAnsi="Arial" w:cs="Arial" w:eastAsia="Arial"/>
              <w:b w:val="0"/>
              <w:i w:val="0"/>
              <w:sz w:val="21"/>
              <w:highlight w:val="yellow"/>
            </w:rPr>
            <w:t>&lt;name and role&gt;</w:t>
          </w:r>
        </w:sdtContent>
      </w:sdt>
      <w:r>
        <w:rPr>
          <w:rFonts w:ascii="Arial" w:hAnsi="Arial" w:cs="Arial" w:eastAsia="Arial"/>
          <w:b w:val="0"/>
          <w:i w:val="0"/>
          <w:sz w:val="21"/>
        </w:rPr>
        <w:t>, an independent senior manager who comes from a control function such as risk or compliance. It includes senior managers from every relevant department, and the CISO.</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744"/>
            <w:shd w:val="clear" w:color="auto" w:fill="DCE6F5"/>
          </w:tcPr>
          <w:p>
            <w:pPr>
              <w:keepNext w:val="0"/>
              <w:spacing w:before="40" w:after="40" w:line="240" w:lineRule="auto"/>
            </w:pPr>
            <w:r>
              <w:rPr>
                <w:rFonts w:ascii="Arial" w:hAnsi="Arial" w:cs="Arial" w:eastAsia="Arial"/>
                <w:b/>
                <w:i w:val="0"/>
                <w:color w:val="1B253B"/>
                <w:sz w:val="18"/>
              </w:rPr>
              <w:t>Role on the committee</w:t>
            </w:r>
          </w:p>
        </w:tc>
        <w:tc>
          <w:tcPr>
            <w:tcW w:type="dxa" w:w="5472"/>
            <w:shd w:val="clear" w:color="auto" w:fill="DCE6F5"/>
          </w:tcPr>
          <w:p>
            <w:pPr>
              <w:keepNext w:val="0"/>
              <w:spacing w:before="40" w:after="40" w:line="240" w:lineRule="auto"/>
            </w:pPr>
            <w:r>
              <w:rPr>
                <w:rFonts w:ascii="Arial" w:hAnsi="Arial" w:cs="Arial" w:eastAsia="Arial"/>
                <w:b/>
                <w:i w:val="0"/>
                <w:color w:val="1B253B"/>
                <w:sz w:val="18"/>
              </w:rPr>
              <w:t>Name and title</w:t>
            </w:r>
          </w:p>
        </w:tc>
      </w:tr>
      <w:tr>
        <w:trPr>
          <w:cantSplit w:val="true"/>
        </w:trPr>
        <w:tc>
          <w:tcPr>
            <w:tcW w:type="dxa" w:w="3744"/>
          </w:tcPr>
          <w:p>
            <w:pPr>
              <w:keepNext w:val="0"/>
              <w:spacing w:before="40" w:after="40" w:line="240" w:lineRule="auto"/>
            </w:pPr>
            <w:r>
              <w:rPr>
                <w:rFonts w:ascii="Arial" w:hAnsi="Arial" w:cs="Arial" w:eastAsia="Arial"/>
                <w:b w:val="0"/>
                <w:i w:val="0"/>
                <w:sz w:val="18"/>
              </w:rPr>
              <w:t>Chair (from a control function)</w:t>
            </w:r>
          </w:p>
        </w:tc>
        <w:tc>
          <w:tcPr>
            <w:tcW w:type="dxa" w:w="5472"/>
          </w:tcPr>
          <w:p>
            <w:pPr>
              <w:keepNext w:val="0"/>
              <w:spacing w:before="40" w:after="40" w:line="240" w:lineRule="auto"/>
            </w:pPr>
            <w:sdt>
              <w:sdtPr>
                <w:alias w:val="Committee chair: name and role"/>
                <w:tag w:val="committee_chair"/>
              </w:sdtPr>
              <w:sdtContent>
                <w:r>
                  <w:rPr>
                    <w:rFonts w:ascii="Arial" w:hAnsi="Arial" w:cs="Arial" w:eastAsia="Arial"/>
                    <w:b w:val="0"/>
                    <w:i w:val="0"/>
                    <w:sz w:val="18"/>
                    <w:highlight w:val="yellow"/>
                  </w:rPr>
                  <w:t>&lt;Name and role&gt;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CISO</w:t>
            </w:r>
          </w:p>
        </w:tc>
        <w:tc>
          <w:tcPr>
            <w:tcW w:type="dxa" w:w="5472"/>
          </w:tcPr>
          <w:p>
            <w:pPr>
              <w:keepNext w:val="0"/>
              <w:spacing w:before="40" w:after="40" w:line="240" w:lineRule="auto"/>
            </w:pPr>
            <w:sdt>
              <w:sdtPr>
                <w:alias w:val="CISO: name"/>
                <w:tag w:val="ciso"/>
              </w:sdtPr>
              <w:sdtContent>
                <w:r>
                  <w:rPr>
                    <w:rFonts w:ascii="Arial" w:hAnsi="Arial" w:cs="Arial" w:eastAsia="Arial"/>
                    <w:b w:val="0"/>
                    <w:i w:val="0"/>
                    <w:sz w:val="18"/>
                    <w:highlight w:val="yellow"/>
                  </w:rPr>
                  <w:t>&lt;Name&gt;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Head of IT</w:t>
            </w:r>
          </w:p>
        </w:tc>
        <w:tc>
          <w:tcPr>
            <w:tcW w:type="dxa" w:w="5472"/>
          </w:tcPr>
          <w:p>
            <w:pPr>
              <w:keepNext w:val="0"/>
              <w:spacing w:before="40" w:after="40" w:line="240" w:lineRule="auto"/>
            </w:pPr>
            <w:sdt>
              <w:sdtPr>
                <w:alias w:val="Head of IT (CIO): name and title"/>
                <w:tag w:val="cio"/>
              </w:sdtPr>
              <w:sdtContent>
                <w:r>
                  <w:rPr>
                    <w:rFonts w:ascii="Arial" w:hAnsi="Arial" w:cs="Arial" w:eastAsia="Arial"/>
                    <w:b w:val="0"/>
                    <w:i w:val="0"/>
                    <w:sz w:val="18"/>
                    <w:highlight w:val="yellow"/>
                  </w:rPr>
                  <w:t>&lt;Name and title&gt;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Head of compliance</w:t>
            </w:r>
          </w:p>
        </w:tc>
        <w:tc>
          <w:tcPr>
            <w:tcW w:type="dxa" w:w="5472"/>
          </w:tcPr>
          <w:p>
            <w:pPr>
              <w:keepNext w:val="0"/>
              <w:spacing w:before="40" w:after="40" w:line="240" w:lineRule="auto"/>
            </w:pPr>
            <w:sdt>
              <w:sdtPr>
                <w:alias w:val="Head of compliance: name and title"/>
                <w:tag w:val="compliance_head"/>
              </w:sdtPr>
              <w:sdtContent>
                <w:r>
                  <w:rPr>
                    <w:rFonts w:ascii="Arial" w:hAnsi="Arial" w:cs="Arial" w:eastAsia="Arial"/>
                    <w:b w:val="0"/>
                    <w:i w:val="0"/>
                    <w:sz w:val="18"/>
                    <w:highlight w:val="yellow"/>
                  </w:rPr>
                  <w:t>&lt;Name and title&gt;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Chief operating officer</w:t>
            </w:r>
          </w:p>
        </w:tc>
        <w:tc>
          <w:tcPr>
            <w:tcW w:type="dxa" w:w="5472"/>
          </w:tcPr>
          <w:p>
            <w:pPr>
              <w:keepNext w:val="0"/>
              <w:spacing w:before="40" w:after="40" w:line="240" w:lineRule="auto"/>
            </w:pPr>
            <w:sdt>
              <w:sdtPr>
                <w:alias w:val="Name and title"/>
                <w:tag w:val="01.t4.r4.c1"/>
              </w:sdtPr>
              <w:sdtContent>
                <w:r>
                  <w:rPr>
                    <w:rFonts w:ascii="Arial" w:hAnsi="Arial" w:cs="Arial" w:eastAsia="Arial"/>
                    <w:b w:val="0"/>
                    <w:i w:val="0"/>
                    <w:sz w:val="18"/>
                    <w:highlight w:val="yellow"/>
                  </w:rPr>
                  <w:t>&lt;Name and title&gt;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Head of a business department</w:t>
            </w:r>
          </w:p>
        </w:tc>
        <w:tc>
          <w:tcPr>
            <w:tcW w:type="dxa" w:w="5472"/>
          </w:tcPr>
          <w:p>
            <w:pPr>
              <w:keepNext w:val="0"/>
              <w:spacing w:before="40" w:after="40" w:line="240" w:lineRule="auto"/>
            </w:pPr>
            <w:sdt>
              <w:sdtPr>
                <w:alias w:val="Name and title"/>
                <w:tag w:val="01.t4.r5.c1"/>
              </w:sdtPr>
              <w:sdtContent>
                <w:r>
                  <w:rPr>
                    <w:rFonts w:ascii="Arial" w:hAnsi="Arial" w:cs="Arial" w:eastAsia="Arial"/>
                    <w:b w:val="0"/>
                    <w:i w:val="0"/>
                    <w:sz w:val="18"/>
                    <w:highlight w:val="yellow"/>
                  </w:rPr>
                  <w:t>&lt;Name and title&gt;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Head of a business department</w:t>
            </w:r>
          </w:p>
        </w:tc>
        <w:tc>
          <w:tcPr>
            <w:tcW w:type="dxa" w:w="5472"/>
          </w:tcPr>
          <w:p>
            <w:pPr>
              <w:keepNext w:val="0"/>
              <w:spacing w:before="40" w:after="40" w:line="240" w:lineRule="auto"/>
            </w:pPr>
            <w:sdt>
              <w:sdtPr>
                <w:alias w:val="Name and title"/>
                <w:tag w:val="01.t4.r6.c1"/>
              </w:sdtPr>
              <w:sdtContent>
                <w:r>
                  <w:rPr>
                    <w:rFonts w:ascii="Arial" w:hAnsi="Arial" w:cs="Arial" w:eastAsia="Arial"/>
                    <w:b w:val="0"/>
                    <w:i w:val="0"/>
                    <w:sz w:val="18"/>
                    <w:highlight w:val="yellow"/>
                  </w:rPr>
                  <w:t>&lt;Name and title&gt;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Internal audit (observer only)</w:t>
            </w:r>
          </w:p>
        </w:tc>
        <w:tc>
          <w:tcPr>
            <w:tcW w:type="dxa" w:w="5472"/>
          </w:tcPr>
          <w:p>
            <w:pPr>
              <w:keepNext w:val="0"/>
              <w:spacing w:before="40" w:after="40" w:line="240" w:lineRule="auto"/>
            </w:pPr>
            <w:sdt>
              <w:sdtPr>
                <w:alias w:val="Head of internal audit: name and title"/>
                <w:tag w:val="audit_head"/>
              </w:sdtPr>
              <w:sdtContent>
                <w:r>
                  <w:rPr>
                    <w:rFonts w:ascii="Arial" w:hAnsi="Arial" w:cs="Arial" w:eastAsia="Arial"/>
                    <w:b w:val="0"/>
                    <w:i w:val="0"/>
                    <w:sz w:val="18"/>
                    <w:highlight w:val="yellow"/>
                  </w:rPr>
                  <w:t>&lt;Name and title&gt;</w:t>
                </w:r>
              </w:sdtContent>
            </w:sdt>
          </w:p>
        </w:tc>
      </w:tr>
    </w:tbl>
    <w:p>
      <w:pPr>
        <w:keepNext w:val="0"/>
        <w:spacing w:before="0" w:after="80" w:line="240" w:lineRule="auto"/>
      </w:pPr>
    </w:p>
    <w:p>
      <w:pPr>
        <w:keepNext w:val="0"/>
        <w:spacing w:before="0" w:after="120" w:line="276" w:lineRule="auto"/>
      </w:pPr>
      <w:r>
        <w:rPr>
          <w:rFonts w:ascii="Arial" w:hAnsi="Arial" w:cs="Arial" w:eastAsia="Arial"/>
          <w:b w:val="0"/>
          <w:i w:val="0"/>
          <w:sz w:val="21"/>
        </w:rPr>
        <w:t>Internal audit may attend as an observer. It does not vote and does not take part in decisions, so that it can audit the committee's work independently.</w:t>
      </w:r>
    </w:p>
    <w:p>
      <w:pPr>
        <w:keepNext/>
        <w:spacing w:before="160" w:after="80" w:line="264" w:lineRule="auto"/>
      </w:pPr>
      <w:r>
        <w:rPr>
          <w:rFonts w:ascii="Arial" w:hAnsi="Arial" w:cs="Arial" w:eastAsia="Arial"/>
          <w:b/>
          <w:i w:val="0"/>
          <w:color w:val="1B253B"/>
          <w:sz w:val="23"/>
        </w:rPr>
        <w:t>How it meets</w:t>
      </w:r>
    </w:p>
    <w:p>
      <w:pPr>
        <w:pStyle w:val="ListBullet"/>
        <w:keepNext w:val="0"/>
        <w:spacing w:before="0" w:after="60" w:line="276" w:lineRule="auto"/>
        <w:ind w:left="432" w:hanging="288"/>
      </w:pPr>
      <w:r>
        <w:rPr>
          <w:rFonts w:ascii="Arial" w:hAnsi="Arial" w:cs="Arial" w:eastAsia="Arial"/>
          <w:b w:val="0"/>
          <w:i w:val="0"/>
          <w:sz w:val="21"/>
        </w:rPr>
        <w:t xml:space="preserve">The committee meets </w:t>
      </w:r>
      <w:sdt>
        <w:sdtPr>
          <w:alias w:val="How often the committee meets (at least quarterly)"/>
          <w:tag w:val="committee_meetings"/>
        </w:sdtPr>
        <w:sdtContent>
          <w:r>
            <w:rPr>
              <w:rFonts w:ascii="Arial" w:hAnsi="Arial" w:cs="Arial" w:eastAsia="Arial"/>
              <w:b w:val="0"/>
              <w:i w:val="0"/>
              <w:sz w:val="21"/>
              <w:highlight w:val="yellow"/>
            </w:rPr>
            <w:t>&lt;quarterly&gt;</w:t>
          </w:r>
        </w:sdtContent>
      </w:sdt>
      <w:r>
        <w:rPr>
          <w:rFonts w:ascii="Arial" w:hAnsi="Arial" w:cs="Arial" w:eastAsia="Arial"/>
          <w:b w:val="0"/>
          <w:i w:val="0"/>
          <w:sz w:val="21"/>
        </w:rPr>
        <w:t>, and never less than once every quarter.</w:t>
      </w:r>
    </w:p>
    <w:p>
      <w:pPr>
        <w:pStyle w:val="ListBullet"/>
        <w:keepNext w:val="0"/>
        <w:spacing w:before="0" w:after="60" w:line="276" w:lineRule="auto"/>
        <w:ind w:left="432" w:hanging="288"/>
      </w:pPr>
      <w:r>
        <w:rPr>
          <w:rFonts w:ascii="Arial" w:hAnsi="Arial" w:cs="Arial" w:eastAsia="Arial"/>
          <w:b w:val="0"/>
          <w:i w:val="0"/>
          <w:sz w:val="21"/>
        </w:rPr>
        <w:t xml:space="preserve">A meeting needs at least </w:t>
      </w:r>
      <w:sdt>
        <w:sdtPr>
          <w:alias w:val="five"/>
          <w:tag w:val="01.quorum"/>
        </w:sdtPr>
        <w:sdtContent>
          <w:r>
            <w:rPr>
              <w:rFonts w:ascii="Arial" w:hAnsi="Arial" w:cs="Arial" w:eastAsia="Arial"/>
              <w:b w:val="0"/>
              <w:i w:val="0"/>
              <w:sz w:val="21"/>
              <w:highlight w:val="yellow"/>
            </w:rPr>
            <w:t>&lt;five&gt;</w:t>
          </w:r>
        </w:sdtContent>
      </w:sdt>
      <w:r>
        <w:rPr>
          <w:rFonts w:ascii="Arial" w:hAnsi="Arial" w:cs="Arial" w:eastAsia="Arial"/>
          <w:b w:val="0"/>
          <w:i w:val="0"/>
          <w:sz w:val="21"/>
        </w:rPr>
        <w:t xml:space="preserve"> members present, including the chair or the chair's deputy.</w:t>
      </w:r>
    </w:p>
    <w:p>
      <w:pPr>
        <w:pStyle w:val="ListBullet"/>
        <w:keepNext w:val="0"/>
        <w:spacing w:before="0" w:after="60" w:line="276" w:lineRule="auto"/>
        <w:ind w:left="432" w:hanging="288"/>
      </w:pPr>
      <w:r>
        <w:rPr>
          <w:rFonts w:ascii="Arial" w:hAnsi="Arial" w:cs="Arial" w:eastAsia="Arial"/>
          <w:b w:val="0"/>
          <w:i w:val="0"/>
          <w:sz w:val="21"/>
        </w:rPr>
        <w:t>Every meeting has minutes, which record attendance, decisions and actions. The minutes are approved at the next meeting.</w:t>
      </w:r>
    </w:p>
    <w:p>
      <w:pPr>
        <w:pStyle w:val="ListBullet"/>
        <w:keepNext w:val="0"/>
        <w:spacing w:before="0" w:after="60" w:line="276" w:lineRule="auto"/>
        <w:ind w:left="432" w:hanging="288"/>
      </w:pPr>
      <w:r>
        <w:rPr>
          <w:rFonts w:ascii="Arial" w:hAnsi="Arial" w:cs="Arial" w:eastAsia="Arial"/>
          <w:b w:val="0"/>
          <w:i w:val="0"/>
          <w:sz w:val="21"/>
        </w:rPr>
        <w:t xml:space="preserve">A decision that needs the board is sent to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with the committee's recommendation.</w:t>
      </w:r>
    </w:p>
    <w:p>
      <w:pPr>
        <w:keepNext w:val="0"/>
        <w:spacing w:before="0" w:after="40" w:line="240" w:lineRule="auto"/>
      </w:pPr>
    </w:p>
    <w:p>
      <w:pPr>
        <w:keepNext/>
        <w:spacing w:before="160" w:after="80" w:line="264" w:lineRule="auto"/>
      </w:pPr>
      <w:r>
        <w:rPr>
          <w:rFonts w:ascii="Arial" w:hAnsi="Arial" w:cs="Arial" w:eastAsia="Arial"/>
          <w:b/>
          <w:i w:val="0"/>
          <w:color w:val="1B253B"/>
          <w:sz w:val="23"/>
        </w:rPr>
        <w:t>What the committee does</w:t>
      </w:r>
    </w:p>
    <w:p>
      <w:pPr>
        <w:pStyle w:val="ListBullet"/>
        <w:keepNext w:val="0"/>
        <w:spacing w:before="0" w:after="60" w:line="276" w:lineRule="auto"/>
        <w:ind w:left="432" w:hanging="288"/>
      </w:pPr>
      <w:r>
        <w:rPr>
          <w:rFonts w:ascii="Arial" w:hAnsi="Arial" w:cs="Arial" w:eastAsia="Arial"/>
          <w:b w:val="0"/>
          <w:i w:val="0"/>
          <w:sz w:val="21"/>
        </w:rPr>
        <w:t>Approves the cyber security governance, strategy and policy, and sends them to the board to be endorsed.</w:t>
      </w:r>
    </w:p>
    <w:p>
      <w:pPr>
        <w:pStyle w:val="ListBullet"/>
        <w:keepNext w:val="0"/>
        <w:spacing w:before="0" w:after="60" w:line="276" w:lineRule="auto"/>
        <w:ind w:left="432" w:hanging="288"/>
      </w:pPr>
      <w:r>
        <w:rPr>
          <w:rFonts w:ascii="Arial" w:hAnsi="Arial" w:cs="Arial" w:eastAsia="Arial"/>
          <w:b w:val="0"/>
          <w:i w:val="0"/>
          <w:sz w:val="21"/>
        </w:rPr>
        <w:t>Monitors, reviews and communicates the risk appetite, periodically and whenever it changes materially.</w:t>
      </w:r>
    </w:p>
    <w:p>
      <w:pPr>
        <w:pStyle w:val="ListBullet"/>
        <w:keepNext w:val="0"/>
        <w:spacing w:before="0" w:after="60" w:line="276" w:lineRule="auto"/>
        <w:ind w:left="432" w:hanging="288"/>
      </w:pPr>
      <w:r>
        <w:rPr>
          <w:rFonts w:ascii="Arial" w:hAnsi="Arial" w:cs="Arial" w:eastAsia="Arial"/>
          <w:b w:val="0"/>
          <w:i w:val="0"/>
          <w:sz w:val="21"/>
        </w:rPr>
        <w:t>Checks that the strategy supports the organisation's objectives.</w:t>
      </w:r>
    </w:p>
    <w:p>
      <w:pPr>
        <w:pStyle w:val="ListBullet"/>
        <w:keepNext w:val="0"/>
        <w:spacing w:before="0" w:after="60" w:line="276" w:lineRule="auto"/>
        <w:ind w:left="432" w:hanging="288"/>
      </w:pPr>
      <w:r>
        <w:rPr>
          <w:rFonts w:ascii="Arial" w:hAnsi="Arial" w:cs="Arial" w:eastAsia="Arial"/>
          <w:b w:val="0"/>
          <w:i w:val="0"/>
          <w:sz w:val="21"/>
        </w:rPr>
        <w:t>Approves, communicates, supports and monitors the security programmes: awareness, data classification, data privacy and data leakage prevention.</w:t>
      </w:r>
    </w:p>
    <w:p>
      <w:pPr>
        <w:pStyle w:val="ListBullet"/>
        <w:keepNext w:val="0"/>
        <w:spacing w:before="0" w:after="60" w:line="276" w:lineRule="auto"/>
        <w:ind w:left="432" w:hanging="288"/>
      </w:pPr>
      <w:r>
        <w:rPr>
          <w:rFonts w:ascii="Arial" w:hAnsi="Arial" w:cs="Arial" w:eastAsia="Arial"/>
          <w:b w:val="0"/>
          <w:i w:val="0"/>
          <w:sz w:val="21"/>
        </w:rPr>
        <w:t>Approves the risk management process and monitors the key risk and performance indicators.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The cyber security function</w:t>
      </w:r>
    </w:p>
    <w:p>
      <w:pPr>
        <w:keepNext w:val="0"/>
        <w:spacing w:before="0" w:after="120" w:line="276" w:lineRule="auto"/>
      </w:pPr>
      <w:sdt>
        <w:sdtPr>
          <w:alias w:val="Organisation name"/>
          <w:tag w:val="company"/>
        </w:sdtPr>
        <w:sdtContent>
          <w:r>
            <w:rPr>
              <w:rFonts w:ascii="Arial" w:hAnsi="Arial" w:cs="Arial" w:eastAsia="Arial"/>
              <w:b w:val="0"/>
              <w:i w:val="0"/>
              <w:sz w:val="21"/>
              <w:highlight w:val="yellow"/>
            </w:rPr>
            <w:t>&lt;The organisation&gt;</w:t>
          </w:r>
        </w:sdtContent>
      </w:sdt>
      <w:r>
        <w:rPr>
          <w:rFonts w:ascii="Arial" w:hAnsi="Arial" w:cs="Arial" w:eastAsia="Arial"/>
          <w:b w:val="0"/>
          <w:i w:val="0"/>
          <w:sz w:val="21"/>
        </w:rPr>
        <w:t xml:space="preserve"> has a dedicated cyber security function with its own staff, its own mandate and its own place on the organisation chart. It is led by a full-time CISO at senior management level. The CISO is appointed as set out in the Roles and Responsibilities document (SAMA-04).</w:t>
      </w:r>
    </w:p>
    <w:p>
      <w:pPr>
        <w:keepNext/>
        <w:spacing w:before="160" w:after="80" w:line="264" w:lineRule="auto"/>
      </w:pPr>
      <w:r>
        <w:rPr>
          <w:rFonts w:ascii="Arial" w:hAnsi="Arial" w:cs="Arial" w:eastAsia="Arial"/>
          <w:b/>
          <w:i w:val="0"/>
          <w:color w:val="1B253B"/>
          <w:sz w:val="23"/>
        </w:rPr>
        <w:t>Independence from IT</w:t>
      </w:r>
    </w:p>
    <w:p>
      <w:pPr>
        <w:keepNext w:val="0"/>
        <w:spacing w:before="0" w:after="120" w:line="276" w:lineRule="auto"/>
      </w:pPr>
      <w:r>
        <w:rPr>
          <w:rFonts w:ascii="Arial" w:hAnsi="Arial" w:cs="Arial" w:eastAsia="Arial"/>
          <w:b w:val="0"/>
          <w:i w:val="0"/>
          <w:sz w:val="21"/>
        </w:rPr>
        <w:t>To avoid a conflict of interest, cyber security is independent of IT. All three of the following are kept separate, and each is checked at least once a year.</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448"/>
            <w:shd w:val="clear" w:color="auto" w:fill="DCE6F5"/>
          </w:tcPr>
          <w:p>
            <w:pPr>
              <w:keepNext w:val="0"/>
              <w:spacing w:before="40" w:after="40" w:line="240" w:lineRule="auto"/>
            </w:pPr>
            <w:r>
              <w:rPr>
                <w:rFonts w:ascii="Arial" w:hAnsi="Arial" w:cs="Arial" w:eastAsia="Arial"/>
                <w:b/>
                <w:i w:val="0"/>
                <w:color w:val="1B253B"/>
                <w:sz w:val="18"/>
              </w:rPr>
              <w:t>What is kept separate</w:t>
            </w:r>
          </w:p>
        </w:tc>
        <w:tc>
          <w:tcPr>
            <w:tcW w:type="dxa" w:w="6768"/>
            <w:shd w:val="clear" w:color="auto" w:fill="DCE6F5"/>
          </w:tcPr>
          <w:p>
            <w:pPr>
              <w:keepNext w:val="0"/>
              <w:spacing w:before="40" w:after="40" w:line="240" w:lineRule="auto"/>
            </w:pPr>
            <w:r>
              <w:rPr>
                <w:rFonts w:ascii="Arial" w:hAnsi="Arial" w:cs="Arial" w:eastAsia="Arial"/>
                <w:b/>
                <w:i w:val="0"/>
                <w:color w:val="1B253B"/>
                <w:sz w:val="18"/>
              </w:rPr>
              <w:t>How it is separate here</w:t>
            </w:r>
          </w:p>
        </w:tc>
      </w:tr>
      <w:tr>
        <w:trPr>
          <w:cantSplit w:val="true"/>
        </w:trPr>
        <w:tc>
          <w:tcPr>
            <w:tcW w:type="dxa" w:w="2448"/>
          </w:tcPr>
          <w:p>
            <w:pPr>
              <w:keepNext w:val="0"/>
              <w:spacing w:before="40" w:after="40" w:line="240" w:lineRule="auto"/>
            </w:pPr>
            <w:r>
              <w:rPr>
                <w:rFonts w:ascii="Arial" w:hAnsi="Arial" w:cs="Arial" w:eastAsia="Arial"/>
                <w:b w:val="0"/>
                <w:i w:val="0"/>
                <w:sz w:val="18"/>
              </w:rPr>
              <w:t>Reporting line</w:t>
            </w:r>
          </w:p>
        </w:tc>
        <w:tc>
          <w:tcPr>
            <w:tcW w:type="dxa" w:w="6768"/>
          </w:tcPr>
          <w:p>
            <w:pPr>
              <w:keepNext w:val="0"/>
              <w:spacing w:before="40" w:after="40" w:line="240" w:lineRule="auto"/>
            </w:pPr>
            <w:r>
              <w:rPr>
                <w:rFonts w:ascii="Arial" w:hAnsi="Arial" w:cs="Arial" w:eastAsia="Arial"/>
                <w:b w:val="0"/>
                <w:i w:val="0"/>
                <w:sz w:val="18"/>
              </w:rPr>
              <w:t xml:space="preserve">Cyber security reports to </w:t>
            </w:r>
            <w:sdt>
              <w:sdtPr>
                <w:alias w:val="the CEO"/>
                <w:tag w:val="01.reports_to"/>
              </w:sdtPr>
              <w:sdtContent>
                <w:r>
                  <w:rPr>
                    <w:rFonts w:ascii="Arial" w:hAnsi="Arial" w:cs="Arial" w:eastAsia="Arial"/>
                    <w:b w:val="0"/>
                    <w:i w:val="0"/>
                    <w:sz w:val="18"/>
                    <w:highlight w:val="yellow"/>
                  </w:rPr>
                  <w:t>&lt;the CEO&gt;</w:t>
                </w:r>
              </w:sdtContent>
            </w:sdt>
            <w:r>
              <w:rPr>
                <w:rFonts w:ascii="Arial" w:hAnsi="Arial" w:cs="Arial" w:eastAsia="Arial"/>
                <w:b w:val="0"/>
                <w:i w:val="0"/>
                <w:sz w:val="18"/>
              </w:rPr>
              <w:t xml:space="preserve">. IT reports to </w:t>
            </w:r>
            <w:sdt>
              <w:sdtPr>
                <w:alias w:val="the COO"/>
                <w:tag w:val="01.it_reports_to"/>
              </w:sdtPr>
              <w:sdtContent>
                <w:r>
                  <w:rPr>
                    <w:rFonts w:ascii="Arial" w:hAnsi="Arial" w:cs="Arial" w:eastAsia="Arial"/>
                    <w:b w:val="0"/>
                    <w:i w:val="0"/>
                    <w:sz w:val="18"/>
                    <w:highlight w:val="yellow"/>
                  </w:rPr>
                  <w:t>&lt;the COO&gt;</w:t>
                </w:r>
              </w:sdtContent>
            </w:sdt>
            <w:r>
              <w:rPr>
                <w:rFonts w:ascii="Arial" w:hAnsi="Arial" w:cs="Arial" w:eastAsia="Arial"/>
                <w:b w:val="0"/>
                <w:i w:val="0"/>
                <w:sz w:val="18"/>
              </w:rPr>
              <w:t>.</w:t>
            </w:r>
          </w:p>
        </w:tc>
      </w:tr>
      <w:tr>
        <w:trPr>
          <w:cantSplit w:val="true"/>
        </w:trPr>
        <w:tc>
          <w:tcPr>
            <w:tcW w:type="dxa" w:w="2448"/>
          </w:tcPr>
          <w:p>
            <w:pPr>
              <w:keepNext w:val="0"/>
              <w:spacing w:before="40" w:after="40" w:line="240" w:lineRule="auto"/>
            </w:pPr>
            <w:r>
              <w:rPr>
                <w:rFonts w:ascii="Arial" w:hAnsi="Arial" w:cs="Arial" w:eastAsia="Arial"/>
                <w:b w:val="0"/>
                <w:i w:val="0"/>
                <w:sz w:val="18"/>
              </w:rPr>
              <w:t>Budget</w:t>
            </w:r>
          </w:p>
        </w:tc>
        <w:tc>
          <w:tcPr>
            <w:tcW w:type="dxa" w:w="6768"/>
          </w:tcPr>
          <w:p>
            <w:pPr>
              <w:keepNext w:val="0"/>
              <w:spacing w:before="40" w:after="40" w:line="240" w:lineRule="auto"/>
            </w:pPr>
            <w:r>
              <w:rPr>
                <w:rFonts w:ascii="Arial" w:hAnsi="Arial" w:cs="Arial" w:eastAsia="Arial"/>
                <w:b w:val="0"/>
                <w:i w:val="0"/>
                <w:sz w:val="18"/>
              </w:rPr>
              <w:t>Cyber security has its own budget line. IT has its own.</w:t>
            </w:r>
          </w:p>
        </w:tc>
      </w:tr>
      <w:tr>
        <w:trPr>
          <w:cantSplit w:val="true"/>
        </w:trPr>
        <w:tc>
          <w:tcPr>
            <w:tcW w:type="dxa" w:w="2448"/>
          </w:tcPr>
          <w:p>
            <w:pPr>
              <w:keepNext w:val="0"/>
              <w:spacing w:before="40" w:after="40" w:line="240" w:lineRule="auto"/>
            </w:pPr>
            <w:r>
              <w:rPr>
                <w:rFonts w:ascii="Arial" w:hAnsi="Arial" w:cs="Arial" w:eastAsia="Arial"/>
                <w:b w:val="0"/>
                <w:i w:val="0"/>
                <w:sz w:val="18"/>
              </w:rPr>
              <w:t>Staff evaluation</w:t>
            </w:r>
          </w:p>
        </w:tc>
        <w:tc>
          <w:tcPr>
            <w:tcW w:type="dxa" w:w="6768"/>
          </w:tcPr>
          <w:p>
            <w:pPr>
              <w:keepNext w:val="0"/>
              <w:spacing w:before="40" w:after="40" w:line="240" w:lineRule="auto"/>
            </w:pPr>
            <w:r>
              <w:rPr>
                <w:rFonts w:ascii="Arial" w:hAnsi="Arial" w:cs="Arial" w:eastAsia="Arial"/>
                <w:b w:val="0"/>
                <w:i w:val="0"/>
                <w:sz w:val="18"/>
              </w:rPr>
              <w:t>Cyber security staff are appraised by the CISO. IT staff are appraised by IT management.</w:t>
            </w:r>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Reporting line</w:t>
      </w:r>
    </w:p>
    <w:p>
      <w:pPr>
        <w:keepNext w:val="0"/>
        <w:spacing w:before="0" w:after="120" w:line="276" w:lineRule="auto"/>
      </w:pPr>
      <w:r>
        <w:rPr>
          <w:rFonts w:ascii="Arial" w:hAnsi="Arial" w:cs="Arial" w:eastAsia="Arial"/>
          <w:b w:val="0"/>
          <w:i w:val="0"/>
          <w:sz w:val="21"/>
        </w:rPr>
        <w:t xml:space="preserve">The cyber security function reports directly to the CEO or managing director, or to the general manager of a control function. Today it reports to </w:t>
      </w:r>
      <w:sdt>
        <w:sdtPr>
          <w:alias w:val="name and role"/>
          <w:tag w:val="01.reports_to_name"/>
        </w:sdtPr>
        <w:sdtContent>
          <w:r>
            <w:rPr>
              <w:rFonts w:ascii="Arial" w:hAnsi="Arial" w:cs="Arial" w:eastAsia="Arial"/>
              <w:b w:val="0"/>
              <w:i w:val="0"/>
              <w:sz w:val="21"/>
              <w:highlight w:val="yellow"/>
            </w:rPr>
            <w:t>&lt;name and role&gt;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6. Budget</w:t>
      </w:r>
    </w:p>
    <w:p>
      <w:pPr>
        <w:keepNext w:val="0"/>
        <w:spacing w:before="0" w:after="120" w:line="276" w:lineRule="auto"/>
      </w:pPr>
      <w:r>
        <w:rPr>
          <w:rFonts w:ascii="Arial" w:hAnsi="Arial" w:cs="Arial" w:eastAsia="Arial"/>
          <w:b w:val="0"/>
          <w:i w:val="0"/>
          <w:sz w:val="21"/>
        </w:rPr>
        <w:t>The board allocates enough budget for the cyber security activities the framework requires. Each year the CISO presents a budget tied to the strategy and its roadmap, and the board's decision is recorded in its minutes.</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1440"/>
            <w:shd w:val="clear" w:color="auto" w:fill="DCE6F5"/>
          </w:tcPr>
          <w:p>
            <w:pPr>
              <w:keepNext w:val="0"/>
              <w:spacing w:before="40" w:after="40" w:line="240" w:lineRule="auto"/>
            </w:pPr>
            <w:r>
              <w:rPr>
                <w:rFonts w:ascii="Arial" w:hAnsi="Arial" w:cs="Arial" w:eastAsia="Arial"/>
                <w:b/>
                <w:i w:val="0"/>
                <w:color w:val="1B253B"/>
                <w:sz w:val="18"/>
              </w:rPr>
              <w:t>Year</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Cyber security budget</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on</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Board minute</w:t>
            </w:r>
          </w:p>
        </w:tc>
      </w:tr>
      <w:tr>
        <w:trPr>
          <w:cantSplit w:val="true"/>
        </w:trPr>
        <w:tc>
          <w:tcPr>
            <w:tcW w:type="dxa" w:w="1440"/>
          </w:tcPr>
          <w:p>
            <w:pPr>
              <w:keepNext w:val="0"/>
              <w:spacing w:before="40" w:after="40" w:line="240" w:lineRule="auto"/>
            </w:pPr>
            <w:sdt>
              <w:sdtPr>
                <w:alias w:val="Year"/>
                <w:tag w:val="01.t6.r0.c0"/>
              </w:sdtPr>
              <w:sdtContent>
                <w:r>
                  <w:rPr>
                    <w:rFonts w:ascii="Arial" w:hAnsi="Arial" w:cs="Arial" w:eastAsia="Arial"/>
                    <w:b w:val="0"/>
                    <w:i w:val="0"/>
                    <w:sz w:val="18"/>
                    <w:highlight w:val="yellow"/>
                  </w:rPr>
                  <w:t>&lt;Year&gt;</w:t>
                </w:r>
              </w:sdtContent>
            </w:sdt>
          </w:p>
        </w:tc>
        <w:tc>
          <w:tcPr>
            <w:tcW w:type="dxa" w:w="2880"/>
          </w:tcPr>
          <w:p>
            <w:pPr>
              <w:keepNext w:val="0"/>
              <w:spacing w:before="40" w:after="40" w:line="240" w:lineRule="auto"/>
            </w:pPr>
            <w:sdt>
              <w:sdtPr>
                <w:alias w:val="Amount"/>
                <w:tag w:val="01.t6.r0.c1"/>
              </w:sdtPr>
              <w:sdtContent>
                <w:r>
                  <w:rPr>
                    <w:rFonts w:ascii="Arial" w:hAnsi="Arial" w:cs="Arial" w:eastAsia="Arial"/>
                    <w:b w:val="0"/>
                    <w:i w:val="0"/>
                    <w:sz w:val="18"/>
                    <w:highlight w:val="yellow"/>
                  </w:rPr>
                  <w:t>&lt;Amount&gt;</w:t>
                </w:r>
              </w:sdtContent>
            </w:sdt>
          </w:p>
        </w:tc>
        <w:tc>
          <w:tcPr>
            <w:tcW w:type="dxa" w:w="2016"/>
          </w:tcPr>
          <w:p>
            <w:pPr>
              <w:keepNext w:val="0"/>
              <w:spacing w:before="40" w:after="40" w:line="240" w:lineRule="auto"/>
            </w:pPr>
            <w:sdt>
              <w:sdtPr>
                <w:alias w:val="Date"/>
                <w:tag w:val="01.t6.r0.c2"/>
              </w:sdtPr>
              <w:sdtContent>
                <w:r>
                  <w:rPr>
                    <w:rFonts w:ascii="Arial" w:hAnsi="Arial" w:cs="Arial" w:eastAsia="Arial"/>
                    <w:b w:val="0"/>
                    <w:i w:val="0"/>
                    <w:sz w:val="18"/>
                    <w:highlight w:val="yellow"/>
                  </w:rPr>
                  <w:t>&lt;Date&gt;</w:t>
                </w:r>
              </w:sdtContent>
            </w:sdt>
          </w:p>
        </w:tc>
        <w:tc>
          <w:tcPr>
            <w:tcW w:type="dxa" w:w="2880"/>
          </w:tcPr>
          <w:p>
            <w:pPr>
              <w:keepNext w:val="0"/>
              <w:spacing w:before="40" w:after="40" w:line="240" w:lineRule="auto"/>
            </w:pPr>
            <w:sdt>
              <w:sdtPr>
                <w:alias w:val="Reference"/>
                <w:tag w:val="01.t6.r0.c3"/>
              </w:sdtPr>
              <w:sdtContent>
                <w:r>
                  <w:rPr>
                    <w:rFonts w:ascii="Arial" w:hAnsi="Arial" w:cs="Arial" w:eastAsia="Arial"/>
                    <w:b w:val="0"/>
                    <w:i w:val="0"/>
                    <w:sz w:val="18"/>
                    <w:highlight w:val="yellow"/>
                  </w:rPr>
                  <w:t>&lt;Reference&gt;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1.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Committee meetings held</w:t>
            </w:r>
          </w:p>
        </w:tc>
        <w:tc>
          <w:tcPr>
            <w:tcW w:type="dxa" w:w="2592"/>
          </w:tcPr>
          <w:p>
            <w:pPr>
              <w:keepNext w:val="0"/>
              <w:spacing w:before="40" w:after="40" w:line="240" w:lineRule="auto"/>
            </w:pPr>
            <w:r>
              <w:rPr>
                <w:rFonts w:ascii="Arial" w:hAnsi="Arial" w:cs="Arial" w:eastAsia="Arial"/>
                <w:b w:val="0"/>
                <w:i w:val="0"/>
                <w:sz w:val="18"/>
              </w:rPr>
              <w:t>At least 4 a year</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Actions from the committee closed on time</w:t>
            </w:r>
          </w:p>
        </w:tc>
        <w:tc>
          <w:tcPr>
            <w:tcW w:type="dxa" w:w="2592"/>
          </w:tcPr>
          <w:p>
            <w:pPr>
              <w:keepNext w:val="0"/>
              <w:spacing w:before="40" w:after="40" w:line="240" w:lineRule="auto"/>
            </w:pPr>
            <w:sdt>
              <w:sdtPr>
                <w:alias w:val="90%"/>
                <w:tag w:val="01.t7.r1.c1"/>
              </w:sdtPr>
              <w:sdtContent>
                <w:r>
                  <w:rPr>
                    <w:rFonts w:ascii="Arial" w:hAnsi="Arial" w:cs="Arial" w:eastAsia="Arial"/>
                    <w:b w:val="0"/>
                    <w:i w:val="0"/>
                    <w:sz w:val="18"/>
                    <w:highlight w:val="yellow"/>
                  </w:rPr>
                  <w:t>&lt;90%&gt;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endorsed by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as the framework requires. It is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3.1.1.1</w:t>
            </w:r>
          </w:p>
        </w:tc>
        <w:tc>
          <w:tcPr>
            <w:tcW w:type="dxa" w:w="7920"/>
          </w:tcPr>
          <w:p>
            <w:pPr>
              <w:keepNext w:val="0"/>
              <w:spacing w:before="40" w:after="40" w:line="240" w:lineRule="auto"/>
            </w:pPr>
            <w:r>
              <w:rPr>
                <w:rFonts w:ascii="Arial" w:hAnsi="Arial" w:cs="Arial" w:eastAsia="Arial"/>
                <w:b w:val="0"/>
                <w:i w:val="0"/>
                <w:sz w:val="18"/>
              </w:rPr>
              <w:t>Committee mandated by the board</w:t>
            </w:r>
          </w:p>
        </w:tc>
      </w:tr>
      <w:tr>
        <w:trPr>
          <w:cantSplit w:val="true"/>
        </w:trPr>
        <w:tc>
          <w:tcPr>
            <w:tcW w:type="dxa" w:w="1296"/>
          </w:tcPr>
          <w:p>
            <w:pPr>
              <w:keepNext w:val="0"/>
              <w:spacing w:before="40" w:after="40" w:line="240" w:lineRule="auto"/>
            </w:pPr>
            <w:r>
              <w:rPr>
                <w:rFonts w:ascii="Arial" w:hAnsi="Arial" w:cs="Arial" w:eastAsia="Arial"/>
                <w:b w:val="0"/>
                <w:i w:val="0"/>
                <w:sz w:val="18"/>
              </w:rPr>
              <w:t>3.1.1.2</w:t>
            </w:r>
          </w:p>
        </w:tc>
        <w:tc>
          <w:tcPr>
            <w:tcW w:type="dxa" w:w="7920"/>
          </w:tcPr>
          <w:p>
            <w:pPr>
              <w:keepNext w:val="0"/>
              <w:spacing w:before="40" w:after="40" w:line="240" w:lineRule="auto"/>
            </w:pPr>
            <w:r>
              <w:rPr>
                <w:rFonts w:ascii="Arial" w:hAnsi="Arial" w:cs="Arial" w:eastAsia="Arial"/>
                <w:b w:val="0"/>
                <w:i w:val="0"/>
                <w:sz w:val="18"/>
              </w:rPr>
              <w:t>Chaired by an independent senior manager from a control function</w:t>
            </w:r>
          </w:p>
        </w:tc>
      </w:tr>
      <w:tr>
        <w:trPr>
          <w:cantSplit w:val="true"/>
        </w:trPr>
        <w:tc>
          <w:tcPr>
            <w:tcW w:type="dxa" w:w="1296"/>
          </w:tcPr>
          <w:p>
            <w:pPr>
              <w:keepNext w:val="0"/>
              <w:spacing w:before="40" w:after="40" w:line="240" w:lineRule="auto"/>
            </w:pPr>
            <w:r>
              <w:rPr>
                <w:rFonts w:ascii="Arial" w:hAnsi="Arial" w:cs="Arial" w:eastAsia="Arial"/>
                <w:b w:val="0"/>
                <w:i w:val="0"/>
                <w:sz w:val="18"/>
              </w:rPr>
              <w:t>3.1.1.3</w:t>
            </w:r>
          </w:p>
        </w:tc>
        <w:tc>
          <w:tcPr>
            <w:tcW w:type="dxa" w:w="7920"/>
          </w:tcPr>
          <w:p>
            <w:pPr>
              <w:keepNext w:val="0"/>
              <w:spacing w:before="40" w:after="40" w:line="240" w:lineRule="auto"/>
            </w:pPr>
            <w:r>
              <w:rPr>
                <w:rFonts w:ascii="Arial" w:hAnsi="Arial" w:cs="Arial" w:eastAsia="Arial"/>
                <w:b w:val="0"/>
                <w:i w:val="0"/>
                <w:sz w:val="18"/>
              </w:rPr>
              <w:t>Senior managers from relevant departments and the CISO; internal audit as observer</w:t>
            </w:r>
          </w:p>
        </w:tc>
      </w:tr>
      <w:tr>
        <w:trPr>
          <w:cantSplit w:val="true"/>
        </w:trPr>
        <w:tc>
          <w:tcPr>
            <w:tcW w:type="dxa" w:w="1296"/>
          </w:tcPr>
          <w:p>
            <w:pPr>
              <w:keepNext w:val="0"/>
              <w:spacing w:before="40" w:after="40" w:line="240" w:lineRule="auto"/>
            </w:pPr>
            <w:r>
              <w:rPr>
                <w:rFonts w:ascii="Arial" w:hAnsi="Arial" w:cs="Arial" w:eastAsia="Arial"/>
                <w:b w:val="0"/>
                <w:i w:val="0"/>
                <w:sz w:val="18"/>
              </w:rPr>
              <w:t>3.1.1.4</w:t>
            </w:r>
          </w:p>
        </w:tc>
        <w:tc>
          <w:tcPr>
            <w:tcW w:type="dxa" w:w="7920"/>
          </w:tcPr>
          <w:p>
            <w:pPr>
              <w:keepNext w:val="0"/>
              <w:spacing w:before="40" w:after="40" w:line="240" w:lineRule="auto"/>
            </w:pPr>
            <w:r>
              <w:rPr>
                <w:rFonts w:ascii="Arial" w:hAnsi="Arial" w:cs="Arial" w:eastAsia="Arial"/>
                <w:b w:val="0"/>
                <w:i w:val="0"/>
                <w:sz w:val="18"/>
              </w:rPr>
              <w:t>Approved charter; meets at least quarterly</w:t>
            </w:r>
          </w:p>
        </w:tc>
      </w:tr>
      <w:tr>
        <w:trPr>
          <w:cantSplit w:val="true"/>
        </w:trPr>
        <w:tc>
          <w:tcPr>
            <w:tcW w:type="dxa" w:w="1296"/>
          </w:tcPr>
          <w:p>
            <w:pPr>
              <w:keepNext w:val="0"/>
              <w:spacing w:before="40" w:after="40" w:line="240" w:lineRule="auto"/>
            </w:pPr>
            <w:r>
              <w:rPr>
                <w:rFonts w:ascii="Arial" w:hAnsi="Arial" w:cs="Arial" w:eastAsia="Arial"/>
                <w:b w:val="0"/>
                <w:i w:val="0"/>
                <w:sz w:val="18"/>
              </w:rPr>
              <w:t>3.1.1.5</w:t>
            </w:r>
          </w:p>
        </w:tc>
        <w:tc>
          <w:tcPr>
            <w:tcW w:type="dxa" w:w="7920"/>
          </w:tcPr>
          <w:p>
            <w:pPr>
              <w:keepNext w:val="0"/>
              <w:spacing w:before="40" w:after="40" w:line="240" w:lineRule="auto"/>
            </w:pPr>
            <w:r>
              <w:rPr>
                <w:rFonts w:ascii="Arial" w:hAnsi="Arial" w:cs="Arial" w:eastAsia="Arial"/>
                <w:b w:val="0"/>
                <w:i w:val="0"/>
                <w:sz w:val="18"/>
              </w:rPr>
              <w:t>A cyber security function</w:t>
            </w:r>
          </w:p>
        </w:tc>
      </w:tr>
      <w:tr>
        <w:trPr>
          <w:cantSplit w:val="true"/>
        </w:trPr>
        <w:tc>
          <w:tcPr>
            <w:tcW w:type="dxa" w:w="1296"/>
          </w:tcPr>
          <w:p>
            <w:pPr>
              <w:keepNext w:val="0"/>
              <w:spacing w:before="40" w:after="40" w:line="240" w:lineRule="auto"/>
            </w:pPr>
            <w:r>
              <w:rPr>
                <w:rFonts w:ascii="Arial" w:hAnsi="Arial" w:cs="Arial" w:eastAsia="Arial"/>
                <w:b w:val="0"/>
                <w:i w:val="0"/>
                <w:sz w:val="18"/>
              </w:rPr>
              <w:t>3.1.1.6</w:t>
            </w:r>
          </w:p>
        </w:tc>
        <w:tc>
          <w:tcPr>
            <w:tcW w:type="dxa" w:w="7920"/>
          </w:tcPr>
          <w:p>
            <w:pPr>
              <w:keepNext w:val="0"/>
              <w:spacing w:before="40" w:after="40" w:line="240" w:lineRule="auto"/>
            </w:pPr>
            <w:r>
              <w:rPr>
                <w:rFonts w:ascii="Arial" w:hAnsi="Arial" w:cs="Arial" w:eastAsia="Arial"/>
                <w:b w:val="0"/>
                <w:i w:val="0"/>
                <w:sz w:val="18"/>
              </w:rPr>
              <w:t>Independent from IT: reporting line, budget and staff evaluation</w:t>
            </w:r>
          </w:p>
        </w:tc>
      </w:tr>
      <w:tr>
        <w:trPr>
          <w:cantSplit w:val="true"/>
        </w:trPr>
        <w:tc>
          <w:tcPr>
            <w:tcW w:type="dxa" w:w="1296"/>
          </w:tcPr>
          <w:p>
            <w:pPr>
              <w:keepNext w:val="0"/>
              <w:spacing w:before="40" w:after="40" w:line="240" w:lineRule="auto"/>
            </w:pPr>
            <w:r>
              <w:rPr>
                <w:rFonts w:ascii="Arial" w:hAnsi="Arial" w:cs="Arial" w:eastAsia="Arial"/>
                <w:b w:val="0"/>
                <w:i w:val="0"/>
                <w:sz w:val="18"/>
              </w:rPr>
              <w:t>3.1.1.7</w:t>
            </w:r>
          </w:p>
        </w:tc>
        <w:tc>
          <w:tcPr>
            <w:tcW w:type="dxa" w:w="7920"/>
          </w:tcPr>
          <w:p>
            <w:pPr>
              <w:keepNext w:val="0"/>
              <w:spacing w:before="40" w:after="40" w:line="240" w:lineRule="auto"/>
            </w:pPr>
            <w:r>
              <w:rPr>
                <w:rFonts w:ascii="Arial" w:hAnsi="Arial" w:cs="Arial" w:eastAsia="Arial"/>
                <w:b w:val="0"/>
                <w:i w:val="0"/>
                <w:sz w:val="18"/>
              </w:rPr>
              <w:t>Reports to the CEO or the head of a control function</w:t>
            </w:r>
          </w:p>
        </w:tc>
      </w:tr>
      <w:tr>
        <w:trPr>
          <w:cantSplit w:val="true"/>
        </w:trPr>
        <w:tc>
          <w:tcPr>
            <w:tcW w:type="dxa" w:w="1296"/>
          </w:tcPr>
          <w:p>
            <w:pPr>
              <w:keepNext w:val="0"/>
              <w:spacing w:before="40" w:after="40" w:line="240" w:lineRule="auto"/>
            </w:pPr>
            <w:r>
              <w:rPr>
                <w:rFonts w:ascii="Arial" w:hAnsi="Arial" w:cs="Arial" w:eastAsia="Arial"/>
                <w:b w:val="0"/>
                <w:i w:val="0"/>
                <w:sz w:val="18"/>
              </w:rPr>
              <w:t>3.1.1.8</w:t>
            </w:r>
          </w:p>
        </w:tc>
        <w:tc>
          <w:tcPr>
            <w:tcW w:type="dxa" w:w="7920"/>
          </w:tcPr>
          <w:p>
            <w:pPr>
              <w:keepNext w:val="0"/>
              <w:spacing w:before="40" w:after="40" w:line="240" w:lineRule="auto"/>
            </w:pPr>
            <w:r>
              <w:rPr>
                <w:rFonts w:ascii="Arial" w:hAnsi="Arial" w:cs="Arial" w:eastAsia="Arial"/>
                <w:b w:val="0"/>
                <w:i w:val="0"/>
                <w:sz w:val="18"/>
              </w:rPr>
              <w:t>A full-time CISO at senior management level</w:t>
            </w:r>
          </w:p>
        </w:tc>
      </w:tr>
      <w:tr>
        <w:trPr>
          <w:cantSplit w:val="true"/>
        </w:trPr>
        <w:tc>
          <w:tcPr>
            <w:tcW w:type="dxa" w:w="1296"/>
          </w:tcPr>
          <w:p>
            <w:pPr>
              <w:keepNext w:val="0"/>
              <w:spacing w:before="40" w:after="40" w:line="240" w:lineRule="auto"/>
            </w:pPr>
            <w:r>
              <w:rPr>
                <w:rFonts w:ascii="Arial" w:hAnsi="Arial" w:cs="Arial" w:eastAsia="Arial"/>
                <w:b w:val="0"/>
                <w:i w:val="0"/>
                <w:sz w:val="18"/>
              </w:rPr>
              <w:t>3.1.1.9</w:t>
            </w:r>
          </w:p>
        </w:tc>
        <w:tc>
          <w:tcPr>
            <w:tcW w:type="dxa" w:w="7920"/>
          </w:tcPr>
          <w:p>
            <w:pPr>
              <w:keepNext w:val="0"/>
              <w:spacing w:before="40" w:after="40" w:line="240" w:lineRule="auto"/>
            </w:pPr>
            <w:r>
              <w:rPr>
                <w:rFonts w:ascii="Arial" w:hAnsi="Arial" w:cs="Arial" w:eastAsia="Arial"/>
                <w:b w:val="0"/>
                <w:i w:val="0"/>
                <w:sz w:val="18"/>
              </w:rPr>
              <w:t>CISO is a Saudi national, qualified, with SAMA's no-objection</w:t>
            </w:r>
          </w:p>
        </w:tc>
      </w:tr>
      <w:tr>
        <w:trPr>
          <w:cantSplit w:val="true"/>
        </w:trPr>
        <w:tc>
          <w:tcPr>
            <w:tcW w:type="dxa" w:w="1296"/>
          </w:tcPr>
          <w:p>
            <w:pPr>
              <w:keepNext w:val="0"/>
              <w:spacing w:before="40" w:after="40" w:line="240" w:lineRule="auto"/>
            </w:pPr>
            <w:r>
              <w:rPr>
                <w:rFonts w:ascii="Arial" w:hAnsi="Arial" w:cs="Arial" w:eastAsia="Arial"/>
                <w:b w:val="0"/>
                <w:i w:val="0"/>
                <w:sz w:val="18"/>
              </w:rPr>
              <w:t>3.1.1.10</w:t>
            </w:r>
          </w:p>
        </w:tc>
        <w:tc>
          <w:tcPr>
            <w:tcW w:type="dxa" w:w="7920"/>
          </w:tcPr>
          <w:p>
            <w:pPr>
              <w:keepNext w:val="0"/>
              <w:spacing w:before="40" w:after="40" w:line="240" w:lineRule="auto"/>
            </w:pPr>
            <w:r>
              <w:rPr>
                <w:rFonts w:ascii="Arial" w:hAnsi="Arial" w:cs="Arial" w:eastAsia="Arial"/>
                <w:b w:val="0"/>
                <w:i w:val="0"/>
                <w:sz w:val="18"/>
              </w:rPr>
              <w:t>Enough budget allocated by the board</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Governance and Committee Charter</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Governance and Committee Charter</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