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Strategy</w:t>
      </w:r>
    </w:p>
    <w:p>
      <w:pPr>
        <w:keepNext w:val="0"/>
        <w:spacing w:before="0" w:after="200" w:line="240" w:lineRule="auto"/>
      </w:pPr>
      <w:r>
        <w:rPr>
          <w:rFonts w:ascii="Arial" w:hAnsi="Arial" w:cs="Arial" w:eastAsia="Arial"/>
          <w:b w:val="0"/>
          <w:i w:val="0"/>
          <w:color w:val="5B6678"/>
          <w:sz w:val="21"/>
        </w:rPr>
        <w:t>Why cyber security matters, where the organisation wants to be, and the initiatives that will take it there.</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SAMA-02</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2820"/>
        <w:gridCol w:w="2820"/>
        <w:gridCol w:w="2820"/>
        <w:gridCol w:w="2820"/>
        <w:gridCol w:w="2820"/>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is the cyber security strategy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 explains why cyber security matters to the organisation, where it wants to be, and which initiatives and projects will take it there, and when.</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 xml:space="preserve">It covers every part of the organisation and every information asset it relies on, for the period </w:t>
      </w:r>
      <w:sdt>
        <w:sdtPr>
          <w:alias w:val="three years"/>
          <w:tag w:val="02.period"/>
        </w:sdtPr>
        <w:sdtContent>
          <w:r>
            <w:rPr>
              <w:rFonts w:ascii="Arial" w:hAnsi="Arial" w:cs="Arial" w:eastAsia="Arial"/>
              <w:b w:val="0"/>
              <w:i w:val="0"/>
              <w:sz w:val="21"/>
              <w:highlight w:val="yellow"/>
            </w:rPr>
            <w:t>&lt;three years&gt;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3. Why cyber security matters here: its importance and benefits</w:t>
      </w:r>
    </w:p>
    <w:p>
      <w:pPr>
        <w:keepNext w:val="0"/>
        <w:spacing w:before="0" w:after="120" w:line="276" w:lineRule="auto"/>
      </w:pPr>
      <w:sdt>
        <w:sdtPr>
          <w:alias w:val="What the organisation does"/>
          <w:tag w:val="what_we_do"/>
        </w:sdtPr>
        <w:sdtContent>
          <w:r>
            <w:rPr>
              <w:rFonts w:ascii="Arial" w:hAnsi="Arial" w:cs="Arial" w:eastAsia="Arial"/>
              <w:b w:val="0"/>
              <w:i w:val="0"/>
              <w:sz w:val="21"/>
              <w:highlight w:val="yellow"/>
            </w:rPr>
            <w:t>&lt;What the organisation does&gt;</w:t>
          </w:r>
        </w:sdtContent>
      </w:sdt>
      <w:r>
        <w:rPr>
          <w:rFonts w:ascii="Arial" w:hAnsi="Arial" w:cs="Arial" w:eastAsia="Arial"/>
          <w:b w:val="0"/>
          <w:i w:val="0"/>
          <w:sz w:val="21"/>
        </w:rPr>
        <w:t>. The organisation depends on the confidentiality, integrity and availability of its information and systems. A serious cyber incident would harm customers, stop services, and bring regulatory and reputational damage.</w:t>
      </w:r>
    </w:p>
    <w:p>
      <w:pPr>
        <w:pStyle w:val="ListBullet"/>
        <w:keepNext w:val="0"/>
        <w:spacing w:before="0" w:after="60" w:line="276" w:lineRule="auto"/>
        <w:ind w:left="432" w:hanging="288"/>
      </w:pPr>
      <w:r>
        <w:rPr>
          <w:rFonts w:ascii="Arial" w:hAnsi="Arial" w:cs="Arial" w:eastAsia="Arial"/>
          <w:b w:val="0"/>
          <w:i w:val="0"/>
          <w:sz w:val="21"/>
        </w:rPr>
        <w:t>Customers expect their money and their data to be safe.</w:t>
      </w:r>
    </w:p>
    <w:p>
      <w:pPr>
        <w:pStyle w:val="ListBullet"/>
        <w:keepNext w:val="0"/>
        <w:spacing w:before="0" w:after="60" w:line="276" w:lineRule="auto"/>
        <w:ind w:left="432" w:hanging="288"/>
      </w:pPr>
      <w:r>
        <w:rPr>
          <w:rFonts w:ascii="Arial" w:hAnsi="Arial" w:cs="Arial" w:eastAsia="Arial"/>
          <w:b w:val="0"/>
          <w:i w:val="0"/>
          <w:sz w:val="21"/>
        </w:rPr>
        <w:t>SAMA and other authorities expect compliance with the Cyber Security Framework and the laws that apply.</w:t>
      </w:r>
    </w:p>
    <w:p>
      <w:pPr>
        <w:pStyle w:val="ListBullet"/>
        <w:keepNext w:val="0"/>
        <w:spacing w:before="0" w:after="60" w:line="276" w:lineRule="auto"/>
        <w:ind w:left="432" w:hanging="288"/>
      </w:pPr>
      <w:r>
        <w:rPr>
          <w:rFonts w:ascii="Arial" w:hAnsi="Arial" w:cs="Arial" w:eastAsia="Arial"/>
          <w:b w:val="0"/>
          <w:i w:val="0"/>
          <w:sz w:val="21"/>
        </w:rPr>
        <w:t>Attackers are getting faster and better organised, and our services are online and connected to others.</w:t>
      </w:r>
    </w:p>
    <w:p>
      <w:pPr>
        <w:pStyle w:val="ListBullet"/>
        <w:keepNext w:val="0"/>
        <w:spacing w:before="0" w:after="60" w:line="276" w:lineRule="auto"/>
        <w:ind w:left="432" w:hanging="288"/>
      </w:pPr>
      <w:sdt>
        <w:sdtPr>
          <w:alias w:val="One more reason that is particular to the organisation"/>
          <w:tag w:val="02.driver"/>
        </w:sdtPr>
        <w:sdtContent>
          <w:r>
            <w:rPr>
              <w:rFonts w:ascii="Arial" w:hAnsi="Arial" w:cs="Arial" w:eastAsia="Arial"/>
              <w:b w:val="0"/>
              <w:i w:val="0"/>
              <w:sz w:val="21"/>
              <w:highlight w:val="yellow"/>
            </w:rPr>
            <w:t>&lt;One more reason that is particular to the organisation&gt;</w:t>
          </w:r>
        </w:sdtContent>
      </w:sdt>
      <w:r>
        <w:rPr>
          <w:rFonts w:ascii="Arial" w:hAnsi="Arial" w:cs="Arial" w:eastAsia="Arial"/>
          <w:b w:val="0"/>
          <w:i w:val="0"/>
          <w:sz w:val="21"/>
        </w:rPr>
        <w:t>.</w:t>
      </w:r>
    </w:p>
    <w:p>
      <w:pPr>
        <w:keepNext w:val="0"/>
        <w:spacing w:before="0" w:after="40" w:line="240" w:lineRule="auto"/>
      </w:pPr>
    </w:p>
    <w:p>
      <w:pPr>
        <w:keepNext w:val="0"/>
        <w:spacing w:before="0" w:after="120" w:line="276" w:lineRule="auto"/>
      </w:pPr>
      <w:r>
        <w:rPr>
          <w:rFonts w:ascii="Arial" w:hAnsi="Arial" w:cs="Arial" w:eastAsia="Arial"/>
          <w:b w:val="0"/>
          <w:i w:val="0"/>
          <w:sz w:val="21"/>
        </w:rPr>
        <w:t>Good cyber security also brings benefits: customers trust the organisation with their money and data, new digital services can be launched safely, regulatory findings and their cost are avoided, and the business keeps running when others are disrupted.</w:t>
      </w:r>
    </w:p>
    <w:p>
      <w:pPr>
        <w:keepNext/>
        <w:spacing w:before="280" w:after="120" w:line="264" w:lineRule="auto"/>
      </w:pPr>
      <w:r>
        <w:rPr>
          <w:rFonts w:ascii="Arial" w:hAnsi="Arial" w:cs="Arial" w:eastAsia="Arial"/>
          <w:b/>
          <w:i w:val="0"/>
          <w:color w:val="1B253B"/>
          <w:sz w:val="28"/>
        </w:rPr>
        <w:t>4. How the strategy fits</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4869"/>
            <w:shd w:val="clear" w:color="auto" w:fill="DCE6F5"/>
          </w:tcPr>
          <w:p>
            <w:pPr>
              <w:keepNext w:val="0"/>
              <w:spacing w:before="40" w:after="40" w:line="240" w:lineRule="auto"/>
            </w:pPr>
            <w:r>
              <w:rPr>
                <w:rFonts w:ascii="Arial" w:hAnsi="Arial" w:cs="Arial" w:eastAsia="Arial"/>
                <w:b/>
                <w:i w:val="0"/>
                <w:color w:val="1B253B"/>
                <w:sz w:val="18"/>
              </w:rPr>
              <w:t>It is aligned with</w:t>
            </w:r>
          </w:p>
        </w:tc>
        <w:tc>
          <w:tcPr>
            <w:tcW w:type="dxa" w:w="9295"/>
            <w:shd w:val="clear" w:color="auto" w:fill="DCE6F5"/>
          </w:tcPr>
          <w:p>
            <w:pPr>
              <w:keepNext w:val="0"/>
              <w:spacing w:before="40" w:after="40" w:line="240" w:lineRule="auto"/>
            </w:pPr>
            <w:r>
              <w:rPr>
                <w:rFonts w:ascii="Arial" w:hAnsi="Arial" w:cs="Arial" w:eastAsia="Arial"/>
                <w:b/>
                <w:i w:val="0"/>
                <w:color w:val="1B253B"/>
                <w:sz w:val="18"/>
              </w:rPr>
              <w:t>How</w:t>
            </w:r>
          </w:p>
        </w:tc>
      </w:tr>
      <w:tr>
        <w:trPr>
          <w:cantSplit w:val="true"/>
        </w:trPr>
        <w:tc>
          <w:tcPr>
            <w:tcW w:type="dxa" w:w="4869"/>
          </w:tcPr>
          <w:p>
            <w:pPr>
              <w:keepNext w:val="0"/>
              <w:spacing w:before="40" w:after="40" w:line="240" w:lineRule="auto"/>
            </w:pPr>
            <w:r>
              <w:rPr>
                <w:rFonts w:ascii="Arial" w:hAnsi="Arial" w:cs="Arial" w:eastAsia="Arial"/>
                <w:b w:val="0"/>
                <w:i w:val="0"/>
                <w:sz w:val="18"/>
              </w:rPr>
              <w:t>The organisation's strategy</w:t>
            </w:r>
          </w:p>
        </w:tc>
        <w:tc>
          <w:tcPr>
            <w:tcW w:type="dxa" w:w="9295"/>
          </w:tcPr>
          <w:p>
            <w:pPr>
              <w:keepNext w:val="0"/>
              <w:spacing w:before="40" w:after="40" w:line="240" w:lineRule="auto"/>
            </w:pPr>
            <w:sdt>
              <w:sdtPr>
                <w:alias w:val="Describe how each strategic objective is supported by securi"/>
                <w:tag w:val="02.align_business"/>
              </w:sdtPr>
              <w:sdtContent>
                <w:r>
                  <w:rPr>
                    <w:rFonts w:ascii="Arial" w:hAnsi="Arial" w:cs="Arial" w:eastAsia="Arial"/>
                    <w:b w:val="0"/>
                    <w:i w:val="0"/>
                    <w:sz w:val="18"/>
                    <w:highlight w:val="yellow"/>
                  </w:rPr>
                  <w:t>&lt;Describe how each strategic objective is supported by security&gt;</w:t>
                </w:r>
              </w:sdtContent>
            </w:sdt>
          </w:p>
        </w:tc>
      </w:tr>
      <w:tr>
        <w:trPr>
          <w:cantSplit w:val="true"/>
        </w:trPr>
        <w:tc>
          <w:tcPr>
            <w:tcW w:type="dxa" w:w="4869"/>
          </w:tcPr>
          <w:p>
            <w:pPr>
              <w:keepNext w:val="0"/>
              <w:spacing w:before="40" w:after="40" w:line="240" w:lineRule="auto"/>
            </w:pPr>
            <w:r>
              <w:rPr>
                <w:rFonts w:ascii="Arial" w:hAnsi="Arial" w:cs="Arial" w:eastAsia="Arial"/>
                <w:b w:val="0"/>
                <w:i w:val="0"/>
                <w:sz w:val="18"/>
              </w:rPr>
              <w:t>Laws and regulations</w:t>
            </w:r>
          </w:p>
        </w:tc>
        <w:tc>
          <w:tcPr>
            <w:tcW w:type="dxa" w:w="9295"/>
          </w:tcPr>
          <w:p>
            <w:pPr>
              <w:keepNext w:val="0"/>
              <w:spacing w:before="40" w:after="40" w:line="240" w:lineRule="auto"/>
            </w:pPr>
            <w:sdt>
              <w:sdtPr>
                <w:alias w:val="The SAMA Cyber Security Framework, the Personal Data Protect"/>
                <w:tag w:val="02.align_law"/>
              </w:sdtPr>
              <w:sdtContent>
                <w:r>
                  <w:rPr>
                    <w:rFonts w:ascii="Arial" w:hAnsi="Arial" w:cs="Arial" w:eastAsia="Arial"/>
                    <w:b w:val="0"/>
                    <w:i w:val="0"/>
                    <w:sz w:val="18"/>
                    <w:highlight w:val="yellow"/>
                  </w:rPr>
                  <w:t>&lt;The SAMA Cyber Security Framework, the Personal Data Protection Law and others that apply&gt;</w:t>
                </w:r>
              </w:sdtContent>
            </w:sdt>
          </w:p>
        </w:tc>
      </w:tr>
      <w:tr>
        <w:trPr>
          <w:cantSplit w:val="true"/>
        </w:trPr>
        <w:tc>
          <w:tcPr>
            <w:tcW w:type="dxa" w:w="4869"/>
          </w:tcPr>
          <w:p>
            <w:pPr>
              <w:keepNext w:val="0"/>
              <w:spacing w:before="40" w:after="40" w:line="240" w:lineRule="auto"/>
            </w:pPr>
            <w:r>
              <w:rPr>
                <w:rFonts w:ascii="Arial" w:hAnsi="Arial" w:cs="Arial" w:eastAsia="Arial"/>
                <w:b w:val="0"/>
                <w:i w:val="0"/>
                <w:sz w:val="18"/>
              </w:rPr>
              <w:t>The banking sector's cyber security strategy</w:t>
            </w:r>
          </w:p>
        </w:tc>
        <w:tc>
          <w:tcPr>
            <w:tcW w:type="dxa" w:w="9295"/>
          </w:tcPr>
          <w:p>
            <w:pPr>
              <w:keepNext w:val="0"/>
              <w:spacing w:before="40" w:after="40" w:line="240" w:lineRule="auto"/>
            </w:pPr>
            <w:sdt>
              <w:sdtPr>
                <w:alias w:val="How the strategy follows the sector's strategy. Banks must a"/>
                <w:tag w:val="02.align_sector"/>
              </w:sdtPr>
              <w:sdtContent>
                <w:r>
                  <w:rPr>
                    <w:rFonts w:ascii="Arial" w:hAnsi="Arial" w:cs="Arial" w:eastAsia="Arial"/>
                    <w:b w:val="0"/>
                    <w:i w:val="0"/>
                    <w:sz w:val="18"/>
                    <w:highlight w:val="yellow"/>
                  </w:rPr>
                  <w:t>&lt;How the strategy follows the sector's strategy. Banks must align; for others SAMA makes it mandatory where it applies&gt;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Where we are today</w:t>
      </w:r>
    </w:p>
    <w:p>
      <w:pPr>
        <w:keepNext w:val="0"/>
        <w:spacing w:before="0" w:after="120" w:line="276" w:lineRule="auto"/>
      </w:pPr>
      <w:sdt>
        <w:sdtPr>
          <w:alias w:val="A short, honest summary of the current state: what is strong"/>
          <w:tag w:val="02.current"/>
        </w:sdtPr>
        <w:sdtContent>
          <w:r>
            <w:rPr>
              <w:rFonts w:ascii="Arial" w:hAnsi="Arial" w:cs="Arial" w:eastAsia="Arial"/>
              <w:b w:val="0"/>
              <w:i w:val="0"/>
              <w:sz w:val="21"/>
              <w:highlight w:val="yellow"/>
            </w:rPr>
            <w:t>&lt;A short, honest summary of the current state: what is strong, what is weak, and the result of the latest SAMA maturity assessment&gt;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6. Where we want to be</w:t>
      </w:r>
    </w:p>
    <w:p>
      <w:pPr>
        <w:keepNext w:val="0"/>
        <w:spacing w:before="0" w:after="120" w:line="276" w:lineRule="auto"/>
      </w:pPr>
      <w:r>
        <w:rPr>
          <w:rFonts w:ascii="Arial" w:hAnsi="Arial" w:cs="Arial" w:eastAsia="Arial"/>
          <w:b w:val="0"/>
          <w:i w:val="0"/>
          <w:sz w:val="21"/>
        </w:rPr>
        <w:t>The future state is an organisation that stays resilient to new threats. By the end of the period:</w:t>
      </w:r>
    </w:p>
    <w:p>
      <w:pPr>
        <w:pStyle w:val="ListBullet"/>
        <w:keepNext w:val="0"/>
        <w:spacing w:before="0" w:after="60" w:line="276" w:lineRule="auto"/>
        <w:ind w:left="432" w:hanging="288"/>
      </w:pPr>
      <w:r>
        <w:rPr>
          <w:rFonts w:ascii="Arial" w:hAnsi="Arial" w:cs="Arial" w:eastAsia="Arial"/>
          <w:b w:val="0"/>
          <w:i w:val="0"/>
          <w:sz w:val="21"/>
        </w:rPr>
        <w:t xml:space="preserve">Every SAMA control that applies is at maturity level </w:t>
      </w:r>
      <w:sdt>
        <w:sdtPr>
          <w:alias w:val="3 or higher"/>
          <w:tag w:val="02.target_level"/>
        </w:sdtPr>
        <w:sdtContent>
          <w:r>
            <w:rPr>
              <w:rFonts w:ascii="Arial" w:hAnsi="Arial" w:cs="Arial" w:eastAsia="Arial"/>
              <w:b w:val="0"/>
              <w:i w:val="0"/>
              <w:sz w:val="21"/>
              <w:highlight w:val="yellow"/>
            </w:rPr>
            <w:t>&lt;3 or higher&gt;</w:t>
          </w:r>
        </w:sdtContent>
      </w:sdt>
      <w:r>
        <w:rPr>
          <w:rFonts w:ascii="Arial" w:hAnsi="Arial" w:cs="Arial" w:eastAsia="Arial"/>
          <w:b w:val="0"/>
          <w:i w:val="0"/>
          <w:sz w:val="21"/>
        </w:rPr>
        <w:t>.</w:t>
      </w:r>
    </w:p>
    <w:p>
      <w:pPr>
        <w:pStyle w:val="ListBullet"/>
        <w:keepNext w:val="0"/>
        <w:spacing w:before="0" w:after="60" w:line="276" w:lineRule="auto"/>
        <w:ind w:left="432" w:hanging="288"/>
      </w:pPr>
      <w:sdt>
        <w:sdtPr>
          <w:alias w:val="A second measurable goal, for example incidents are detected"/>
          <w:tag w:val="02.goal2"/>
        </w:sdtPr>
        <w:sdtContent>
          <w:r>
            <w:rPr>
              <w:rFonts w:ascii="Arial" w:hAnsi="Arial" w:cs="Arial" w:eastAsia="Arial"/>
              <w:b w:val="0"/>
              <w:i w:val="0"/>
              <w:sz w:val="21"/>
              <w:highlight w:val="yellow"/>
            </w:rPr>
            <w:t>&lt;A second measurable goal, for example incidents are detected and contained within the agreed times&gt;</w:t>
          </w:r>
        </w:sdtContent>
      </w:sdt>
      <w:r>
        <w:rPr>
          <w:rFonts w:ascii="Arial" w:hAnsi="Arial" w:cs="Arial" w:eastAsia="Arial"/>
          <w:b w:val="0"/>
          <w:i w:val="0"/>
          <w:sz w:val="21"/>
        </w:rPr>
        <w:t>.</w:t>
      </w:r>
    </w:p>
    <w:p>
      <w:pPr>
        <w:pStyle w:val="ListBullet"/>
        <w:keepNext w:val="0"/>
        <w:spacing w:before="0" w:after="60" w:line="276" w:lineRule="auto"/>
        <w:ind w:left="432" w:hanging="288"/>
      </w:pPr>
      <w:sdt>
        <w:sdtPr>
          <w:alias w:val="A third measurable goal, for example every critical service "/>
          <w:tag w:val="02.goal3"/>
        </w:sdtPr>
        <w:sdtContent>
          <w:r>
            <w:rPr>
              <w:rFonts w:ascii="Arial" w:hAnsi="Arial" w:cs="Arial" w:eastAsia="Arial"/>
              <w:b w:val="0"/>
              <w:i w:val="0"/>
              <w:sz w:val="21"/>
              <w:highlight w:val="yellow"/>
            </w:rPr>
            <w:t>&lt;A third measurable goal, for example every critical service has been tested against a realistic attack&gt;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Strategic objectives</w:t>
      </w:r>
    </w:p>
    <w:tbl>
      <w:tblPr>
        <w:tblStyle w:val="TableGrid"/>
        <w:tblW w:type="auto" w:w="0"/>
        <w:jc w:val="center"/>
        <w:tblLayout w:type="fixed"/>
        <w:tblLook w:firstColumn="1" w:firstRow="1" w:lastColumn="0" w:lastRow="0" w:noHBand="0" w:noVBand="1" w:val="04A0"/>
      </w:tblPr>
      <w:tblGrid>
        <w:gridCol w:w="3524"/>
        <w:gridCol w:w="3524"/>
        <w:gridCol w:w="3524"/>
        <w:gridCol w:w="3524"/>
      </w:tblGrid>
      <w:tr>
        <w:trPr>
          <w:tblHeader w:val="true"/>
        </w:trPr>
        <w:tc>
          <w:tcPr>
            <w:tcW w:type="dxa" w:w="4869"/>
            <w:shd w:val="clear" w:color="auto" w:fill="DCE6F5"/>
          </w:tcPr>
          <w:p>
            <w:pPr>
              <w:keepNext w:val="0"/>
              <w:spacing w:before="40" w:after="40" w:line="240" w:lineRule="auto"/>
            </w:pPr>
            <w:r>
              <w:rPr>
                <w:rFonts w:ascii="Arial" w:hAnsi="Arial" w:cs="Arial" w:eastAsia="Arial"/>
                <w:b/>
                <w:i w:val="0"/>
                <w:color w:val="1B253B"/>
                <w:sz w:val="18"/>
              </w:rPr>
              <w:t>Objective</w:t>
            </w:r>
          </w:p>
        </w:tc>
        <w:tc>
          <w:tcPr>
            <w:tcW w:type="dxa" w:w="3984"/>
            <w:shd w:val="clear" w:color="auto" w:fill="DCE6F5"/>
          </w:tcPr>
          <w:p>
            <w:pPr>
              <w:keepNext w:val="0"/>
              <w:spacing w:before="40" w:after="40" w:line="240" w:lineRule="auto"/>
            </w:pPr>
            <w:r>
              <w:rPr>
                <w:rFonts w:ascii="Arial" w:hAnsi="Arial" w:cs="Arial" w:eastAsia="Arial"/>
                <w:b/>
                <w:i w:val="0"/>
                <w:color w:val="1B253B"/>
                <w:sz w:val="18"/>
              </w:rPr>
              <w:t>Measure</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69"/>
          </w:tcPr>
          <w:p>
            <w:pPr>
              <w:keepNext w:val="0"/>
              <w:spacing w:before="40" w:after="40" w:line="240" w:lineRule="auto"/>
            </w:pPr>
            <w:sdt>
              <w:sdtPr>
                <w:alias w:val="Objective"/>
                <w:tag w:val="02.t4.r0.c0"/>
              </w:sdtPr>
              <w:sdtContent>
                <w:r>
                  <w:rPr>
                    <w:rFonts w:ascii="Arial" w:hAnsi="Arial" w:cs="Arial" w:eastAsia="Arial"/>
                    <w:b w:val="0"/>
                    <w:i w:val="0"/>
                    <w:sz w:val="18"/>
                    <w:highlight w:val="yellow"/>
                  </w:rPr>
                  <w:t>&lt;Objective&gt;</w:t>
                </w:r>
              </w:sdtContent>
            </w:sdt>
          </w:p>
        </w:tc>
        <w:tc>
          <w:tcPr>
            <w:tcW w:type="dxa" w:w="3984"/>
          </w:tcPr>
          <w:p>
            <w:pPr>
              <w:keepNext w:val="0"/>
              <w:spacing w:before="40" w:after="40" w:line="240" w:lineRule="auto"/>
            </w:pPr>
            <w:sdt>
              <w:sdtPr>
                <w:alias w:val="Measure"/>
                <w:tag w:val="02.t4.r0.c1"/>
              </w:sdtPr>
              <w:sdtContent>
                <w:r>
                  <w:rPr>
                    <w:rFonts w:ascii="Arial" w:hAnsi="Arial" w:cs="Arial" w:eastAsia="Arial"/>
                    <w:b w:val="0"/>
                    <w:i w:val="0"/>
                    <w:sz w:val="18"/>
                    <w:highlight w:val="yellow"/>
                  </w:rPr>
                  <w:t>&lt;Measure&gt;</w:t>
                </w:r>
              </w:sdtContent>
            </w:sdt>
          </w:p>
        </w:tc>
        <w:tc>
          <w:tcPr>
            <w:tcW w:type="dxa" w:w="2656"/>
          </w:tcPr>
          <w:p>
            <w:pPr>
              <w:keepNext w:val="0"/>
              <w:spacing w:before="40" w:after="40" w:line="240" w:lineRule="auto"/>
            </w:pPr>
            <w:sdt>
              <w:sdtPr>
                <w:alias w:val="Target"/>
                <w:tag w:val="02.t4.r0.c2"/>
              </w:sdtPr>
              <w:sdtContent>
                <w:r>
                  <w:rPr>
                    <w:rFonts w:ascii="Arial" w:hAnsi="Arial" w:cs="Arial" w:eastAsia="Arial"/>
                    <w:b w:val="0"/>
                    <w:i w:val="0"/>
                    <w:sz w:val="18"/>
                    <w:highlight w:val="yellow"/>
                  </w:rPr>
                  <w:t>&lt;Target&gt;</w:t>
                </w:r>
              </w:sdtContent>
            </w:sdt>
          </w:p>
        </w:tc>
        <w:tc>
          <w:tcPr>
            <w:tcW w:type="dxa" w:w="2656"/>
          </w:tcPr>
          <w:p>
            <w:pPr>
              <w:keepNext w:val="0"/>
              <w:spacing w:before="40" w:after="40" w:line="240" w:lineRule="auto"/>
            </w:pPr>
            <w:sdt>
              <w:sdtPr>
                <w:alias w:val="Owner"/>
                <w:tag w:val="02.t4.r0.c3"/>
              </w:sdtPr>
              <w:sdtContent>
                <w:r>
                  <w:rPr>
                    <w:rFonts w:ascii="Arial" w:hAnsi="Arial" w:cs="Arial" w:eastAsia="Arial"/>
                    <w:b w:val="0"/>
                    <w:i w:val="0"/>
                    <w:sz w:val="18"/>
                    <w:highlight w:val="yellow"/>
                  </w:rPr>
                  <w:t>&lt;Owner&gt;</w:t>
                </w:r>
              </w:sdtContent>
            </w:sdt>
          </w:p>
        </w:tc>
      </w:tr>
      <w:tr>
        <w:trPr>
          <w:cantSplit w:val="true"/>
        </w:trPr>
        <w:tc>
          <w:tcPr>
            <w:tcW w:type="dxa" w:w="4869"/>
          </w:tcPr>
          <w:p>
            <w:pPr>
              <w:keepNext w:val="0"/>
              <w:spacing w:before="40" w:after="40" w:line="240" w:lineRule="auto"/>
            </w:pPr>
            <w:sdt>
              <w:sdtPr>
                <w:alias w:val="Objective"/>
                <w:tag w:val="02.t4.r1.c0"/>
              </w:sdtPr>
              <w:sdtContent>
                <w:r>
                  <w:rPr>
                    <w:rFonts w:ascii="Arial" w:hAnsi="Arial" w:cs="Arial" w:eastAsia="Arial"/>
                    <w:b w:val="0"/>
                    <w:i w:val="0"/>
                    <w:sz w:val="18"/>
                    <w:highlight w:val="yellow"/>
                  </w:rPr>
                  <w:t>&lt;Objective&gt;</w:t>
                </w:r>
              </w:sdtContent>
            </w:sdt>
          </w:p>
        </w:tc>
        <w:tc>
          <w:tcPr>
            <w:tcW w:type="dxa" w:w="3984"/>
          </w:tcPr>
          <w:p>
            <w:pPr>
              <w:keepNext w:val="0"/>
              <w:spacing w:before="40" w:after="40" w:line="240" w:lineRule="auto"/>
            </w:pPr>
            <w:sdt>
              <w:sdtPr>
                <w:alias w:val="Measure"/>
                <w:tag w:val="02.t4.r1.c1"/>
              </w:sdtPr>
              <w:sdtContent>
                <w:r>
                  <w:rPr>
                    <w:rFonts w:ascii="Arial" w:hAnsi="Arial" w:cs="Arial" w:eastAsia="Arial"/>
                    <w:b w:val="0"/>
                    <w:i w:val="0"/>
                    <w:sz w:val="18"/>
                    <w:highlight w:val="yellow"/>
                  </w:rPr>
                  <w:t>&lt;Measure&gt;</w:t>
                </w:r>
              </w:sdtContent>
            </w:sdt>
          </w:p>
        </w:tc>
        <w:tc>
          <w:tcPr>
            <w:tcW w:type="dxa" w:w="2656"/>
          </w:tcPr>
          <w:p>
            <w:pPr>
              <w:keepNext w:val="0"/>
              <w:spacing w:before="40" w:after="40" w:line="240" w:lineRule="auto"/>
            </w:pPr>
            <w:sdt>
              <w:sdtPr>
                <w:alias w:val="Target"/>
                <w:tag w:val="02.t4.r1.c2"/>
              </w:sdtPr>
              <w:sdtContent>
                <w:r>
                  <w:rPr>
                    <w:rFonts w:ascii="Arial" w:hAnsi="Arial" w:cs="Arial" w:eastAsia="Arial"/>
                    <w:b w:val="0"/>
                    <w:i w:val="0"/>
                    <w:sz w:val="18"/>
                    <w:highlight w:val="yellow"/>
                  </w:rPr>
                  <w:t>&lt;Target&gt;</w:t>
                </w:r>
              </w:sdtContent>
            </w:sdt>
          </w:p>
        </w:tc>
        <w:tc>
          <w:tcPr>
            <w:tcW w:type="dxa" w:w="2656"/>
          </w:tcPr>
          <w:p>
            <w:pPr>
              <w:keepNext w:val="0"/>
              <w:spacing w:before="40" w:after="40" w:line="240" w:lineRule="auto"/>
            </w:pPr>
            <w:sdt>
              <w:sdtPr>
                <w:alias w:val="Owner"/>
                <w:tag w:val="02.t4.r1.c3"/>
              </w:sdtPr>
              <w:sdtContent>
                <w:r>
                  <w:rPr>
                    <w:rFonts w:ascii="Arial" w:hAnsi="Arial" w:cs="Arial" w:eastAsia="Arial"/>
                    <w:b w:val="0"/>
                    <w:i w:val="0"/>
                    <w:sz w:val="18"/>
                    <w:highlight w:val="yellow"/>
                  </w:rPr>
                  <w:t>&lt;Owner&gt;</w:t>
                </w:r>
              </w:sdtContent>
            </w:sdt>
          </w:p>
        </w:tc>
      </w:tr>
      <w:tr>
        <w:trPr>
          <w:cantSplit w:val="true"/>
        </w:trPr>
        <w:tc>
          <w:tcPr>
            <w:tcW w:type="dxa" w:w="4869"/>
          </w:tcPr>
          <w:p>
            <w:pPr>
              <w:keepNext w:val="0"/>
              <w:spacing w:before="40" w:after="40" w:line="240" w:lineRule="auto"/>
            </w:pPr>
            <w:sdt>
              <w:sdtPr>
                <w:alias w:val="Objective"/>
                <w:tag w:val="02.t4.r2.c0"/>
              </w:sdtPr>
              <w:sdtContent>
                <w:r>
                  <w:rPr>
                    <w:rFonts w:ascii="Arial" w:hAnsi="Arial" w:cs="Arial" w:eastAsia="Arial"/>
                    <w:b w:val="0"/>
                    <w:i w:val="0"/>
                    <w:sz w:val="18"/>
                    <w:highlight w:val="yellow"/>
                  </w:rPr>
                  <w:t>&lt;Objective&gt;</w:t>
                </w:r>
              </w:sdtContent>
            </w:sdt>
          </w:p>
        </w:tc>
        <w:tc>
          <w:tcPr>
            <w:tcW w:type="dxa" w:w="3984"/>
          </w:tcPr>
          <w:p>
            <w:pPr>
              <w:keepNext w:val="0"/>
              <w:spacing w:before="40" w:after="40" w:line="240" w:lineRule="auto"/>
            </w:pPr>
            <w:sdt>
              <w:sdtPr>
                <w:alias w:val="Measure"/>
                <w:tag w:val="02.t4.r2.c1"/>
              </w:sdtPr>
              <w:sdtContent>
                <w:r>
                  <w:rPr>
                    <w:rFonts w:ascii="Arial" w:hAnsi="Arial" w:cs="Arial" w:eastAsia="Arial"/>
                    <w:b w:val="0"/>
                    <w:i w:val="0"/>
                    <w:sz w:val="18"/>
                    <w:highlight w:val="yellow"/>
                  </w:rPr>
                  <w:t>&lt;Measure&gt;</w:t>
                </w:r>
              </w:sdtContent>
            </w:sdt>
          </w:p>
        </w:tc>
        <w:tc>
          <w:tcPr>
            <w:tcW w:type="dxa" w:w="2656"/>
          </w:tcPr>
          <w:p>
            <w:pPr>
              <w:keepNext w:val="0"/>
              <w:spacing w:before="40" w:after="40" w:line="240" w:lineRule="auto"/>
            </w:pPr>
            <w:sdt>
              <w:sdtPr>
                <w:alias w:val="Target"/>
                <w:tag w:val="02.t4.r2.c2"/>
              </w:sdtPr>
              <w:sdtContent>
                <w:r>
                  <w:rPr>
                    <w:rFonts w:ascii="Arial" w:hAnsi="Arial" w:cs="Arial" w:eastAsia="Arial"/>
                    <w:b w:val="0"/>
                    <w:i w:val="0"/>
                    <w:sz w:val="18"/>
                    <w:highlight w:val="yellow"/>
                  </w:rPr>
                  <w:t>&lt;Target&gt;</w:t>
                </w:r>
              </w:sdtContent>
            </w:sdt>
          </w:p>
        </w:tc>
        <w:tc>
          <w:tcPr>
            <w:tcW w:type="dxa" w:w="2656"/>
          </w:tcPr>
          <w:p>
            <w:pPr>
              <w:keepNext w:val="0"/>
              <w:spacing w:before="40" w:after="40" w:line="240" w:lineRule="auto"/>
            </w:pPr>
            <w:sdt>
              <w:sdtPr>
                <w:alias w:val="Owner"/>
                <w:tag w:val="02.t4.r2.c3"/>
              </w:sdtPr>
              <w:sdtContent>
                <w:r>
                  <w:rPr>
                    <w:rFonts w:ascii="Arial" w:hAnsi="Arial" w:cs="Arial" w:eastAsia="Arial"/>
                    <w:b w:val="0"/>
                    <w:i w:val="0"/>
                    <w:sz w:val="18"/>
                    <w:highlight w:val="yellow"/>
                  </w:rPr>
                  <w:t>&lt;Owner&gt;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Roadmap</w:t>
      </w:r>
    </w:p>
    <w:p>
      <w:pPr>
        <w:keepNext w:val="0"/>
        <w:spacing w:before="0" w:after="120" w:line="276" w:lineRule="auto"/>
      </w:pPr>
      <w:r>
        <w:rPr>
          <w:rFonts w:ascii="Arial" w:hAnsi="Arial" w:cs="Arial" w:eastAsia="Arial"/>
          <w:b w:val="0"/>
          <w:i w:val="0"/>
          <w:sz w:val="21"/>
        </w:rPr>
        <w:t>These are the initiatives and projects that will take the organisation to the future state, and when. The CISO keeps the roadmap current and reports progress to the committee.</w:t>
      </w:r>
    </w:p>
    <w:tbl>
      <w:tblPr>
        <w:tblStyle w:val="TableGrid"/>
        <w:tblW w:type="auto" w:w="0"/>
        <w:jc w:val="center"/>
        <w:tblLayout w:type="fixed"/>
        <w:tblLook w:firstColumn="1" w:firstRow="1" w:lastColumn="0" w:lastRow="0" w:noHBand="0" w:noVBand="1" w:val="04A0"/>
      </w:tblPr>
      <w:tblGrid>
        <w:gridCol w:w="2014"/>
        <w:gridCol w:w="2014"/>
        <w:gridCol w:w="2014"/>
        <w:gridCol w:w="2014"/>
        <w:gridCol w:w="2014"/>
        <w:gridCol w:w="2014"/>
        <w:gridCol w:w="2014"/>
      </w:tblGrid>
      <w:tr>
        <w:trPr>
          <w:tblHeader w:val="true"/>
        </w:trPr>
        <w:tc>
          <w:tcPr>
            <w:tcW w:type="dxa" w:w="3541"/>
            <w:shd w:val="clear" w:color="auto" w:fill="DCE6F5"/>
          </w:tcPr>
          <w:p>
            <w:pPr>
              <w:keepNext w:val="0"/>
              <w:spacing w:before="40" w:after="40" w:line="240" w:lineRule="auto"/>
            </w:pPr>
            <w:r>
              <w:rPr>
                <w:rFonts w:ascii="Arial" w:hAnsi="Arial" w:cs="Arial" w:eastAsia="Arial"/>
                <w:b/>
                <w:i w:val="0"/>
                <w:color w:val="1B253B"/>
                <w:sz w:val="18"/>
              </w:rPr>
              <w:t>Initiative or project</w:t>
            </w:r>
          </w:p>
        </w:tc>
        <w:tc>
          <w:tcPr>
            <w:tcW w:type="dxa" w:w="2877"/>
            <w:shd w:val="clear" w:color="auto" w:fill="DCE6F5"/>
          </w:tcPr>
          <w:p>
            <w:pPr>
              <w:keepNext w:val="0"/>
              <w:spacing w:before="40" w:after="40" w:line="240" w:lineRule="auto"/>
            </w:pPr>
            <w:r>
              <w:rPr>
                <w:rFonts w:ascii="Arial" w:hAnsi="Arial" w:cs="Arial" w:eastAsia="Arial"/>
                <w:b/>
                <w:i w:val="0"/>
                <w:color w:val="1B253B"/>
                <w:sz w:val="18"/>
              </w:rPr>
              <w:t>Objective it serves</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Start</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End</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Budget</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3541"/>
          </w:tcPr>
          <w:p>
            <w:pPr>
              <w:keepNext w:val="0"/>
              <w:spacing w:before="40" w:after="40" w:line="240" w:lineRule="auto"/>
            </w:pPr>
            <w:sdt>
              <w:sdtPr>
                <w:alias w:val="Initiative"/>
                <w:tag w:val="02.t5.r0.c0"/>
              </w:sdtPr>
              <w:sdtContent>
                <w:r>
                  <w:rPr>
                    <w:rFonts w:ascii="Arial" w:hAnsi="Arial" w:cs="Arial" w:eastAsia="Arial"/>
                    <w:b w:val="0"/>
                    <w:i w:val="0"/>
                    <w:sz w:val="18"/>
                    <w:highlight w:val="yellow"/>
                  </w:rPr>
                  <w:t>&lt;Initiative&gt;</w:t>
                </w:r>
              </w:sdtContent>
            </w:sdt>
          </w:p>
        </w:tc>
        <w:tc>
          <w:tcPr>
            <w:tcW w:type="dxa" w:w="2877"/>
          </w:tcPr>
          <w:p>
            <w:pPr>
              <w:keepNext w:val="0"/>
              <w:spacing w:before="40" w:after="40" w:line="240" w:lineRule="auto"/>
            </w:pPr>
            <w:sdt>
              <w:sdtPr>
                <w:alias w:val="Objective"/>
                <w:tag w:val="02.t5.r0.c1"/>
              </w:sdtPr>
              <w:sdtContent>
                <w:r>
                  <w:rPr>
                    <w:rFonts w:ascii="Arial" w:hAnsi="Arial" w:cs="Arial" w:eastAsia="Arial"/>
                    <w:b w:val="0"/>
                    <w:i w:val="0"/>
                    <w:sz w:val="18"/>
                    <w:highlight w:val="yellow"/>
                  </w:rPr>
                  <w:t>&lt;Objective&gt;</w:t>
                </w:r>
              </w:sdtContent>
            </w:sdt>
          </w:p>
        </w:tc>
        <w:tc>
          <w:tcPr>
            <w:tcW w:type="dxa" w:w="1770"/>
          </w:tcPr>
          <w:p>
            <w:pPr>
              <w:keepNext w:val="0"/>
              <w:spacing w:before="40" w:after="40" w:line="240" w:lineRule="auto"/>
            </w:pPr>
            <w:sdt>
              <w:sdtPr>
                <w:alias w:val="Owner"/>
                <w:tag w:val="02.t5.r0.c2"/>
              </w:sdtPr>
              <w:sdtContent>
                <w:r>
                  <w:rPr>
                    <w:rFonts w:ascii="Arial" w:hAnsi="Arial" w:cs="Arial" w:eastAsia="Arial"/>
                    <w:b w:val="0"/>
                    <w:i w:val="0"/>
                    <w:sz w:val="18"/>
                    <w:highlight w:val="yellow"/>
                  </w:rPr>
                  <w:t>&lt;Owner&gt;</w:t>
                </w:r>
              </w:sdtContent>
            </w:sdt>
          </w:p>
        </w:tc>
        <w:tc>
          <w:tcPr>
            <w:tcW w:type="dxa" w:w="1549"/>
          </w:tcPr>
          <w:p>
            <w:pPr>
              <w:keepNext w:val="0"/>
              <w:spacing w:before="40" w:after="40" w:line="240" w:lineRule="auto"/>
            </w:pPr>
            <w:sdt>
              <w:sdtPr>
                <w:alias w:val="Date"/>
                <w:tag w:val="02.t5.r0.c3"/>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Date"/>
                <w:tag w:val="02.t5.r0.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Amount"/>
                <w:tag w:val="02.t5.r0.c5"/>
              </w:sdtPr>
              <w:sdtContent>
                <w:r>
                  <w:rPr>
                    <w:rFonts w:ascii="Arial" w:hAnsi="Arial" w:cs="Arial" w:eastAsia="Arial"/>
                    <w:b w:val="0"/>
                    <w:i w:val="0"/>
                    <w:sz w:val="18"/>
                    <w:highlight w:val="yellow"/>
                  </w:rPr>
                  <w:t>&lt;Amount&gt;</w:t>
                </w:r>
              </w:sdtContent>
            </w:sdt>
          </w:p>
        </w:tc>
        <w:tc>
          <w:tcPr>
            <w:tcW w:type="dxa" w:w="1328"/>
          </w:tcPr>
          <w:p>
            <w:pPr>
              <w:keepNext w:val="0"/>
              <w:spacing w:before="40" w:after="40" w:line="240" w:lineRule="auto"/>
            </w:pPr>
            <w:sdt>
              <w:sdtPr>
                <w:alias w:val="Not started"/>
                <w:tag w:val="02.t5.r0.c6"/>
              </w:sdtPr>
              <w:sdtContent>
                <w:r>
                  <w:rPr>
                    <w:rFonts w:ascii="Arial" w:hAnsi="Arial" w:cs="Arial" w:eastAsia="Arial"/>
                    <w:b w:val="0"/>
                    <w:i w:val="0"/>
                    <w:sz w:val="18"/>
                    <w:highlight w:val="yellow"/>
                  </w:rPr>
                  <w:t>&lt;Not started&gt;</w:t>
                </w:r>
              </w:sdtContent>
            </w:sdt>
          </w:p>
        </w:tc>
      </w:tr>
      <w:tr>
        <w:trPr>
          <w:cantSplit w:val="true"/>
        </w:trPr>
        <w:tc>
          <w:tcPr>
            <w:tcW w:type="dxa" w:w="3541"/>
          </w:tcPr>
          <w:p>
            <w:pPr>
              <w:keepNext w:val="0"/>
              <w:spacing w:before="40" w:after="40" w:line="240" w:lineRule="auto"/>
            </w:pPr>
            <w:sdt>
              <w:sdtPr>
                <w:alias w:val="Initiative"/>
                <w:tag w:val="02.t5.r1.c0"/>
              </w:sdtPr>
              <w:sdtContent>
                <w:r>
                  <w:rPr>
                    <w:rFonts w:ascii="Arial" w:hAnsi="Arial" w:cs="Arial" w:eastAsia="Arial"/>
                    <w:b w:val="0"/>
                    <w:i w:val="0"/>
                    <w:sz w:val="18"/>
                    <w:highlight w:val="yellow"/>
                  </w:rPr>
                  <w:t>&lt;Initiative&gt;</w:t>
                </w:r>
              </w:sdtContent>
            </w:sdt>
          </w:p>
        </w:tc>
        <w:tc>
          <w:tcPr>
            <w:tcW w:type="dxa" w:w="2877"/>
          </w:tcPr>
          <w:p>
            <w:pPr>
              <w:keepNext w:val="0"/>
              <w:spacing w:before="40" w:after="40" w:line="240" w:lineRule="auto"/>
            </w:pPr>
            <w:sdt>
              <w:sdtPr>
                <w:alias w:val="Objective"/>
                <w:tag w:val="02.t5.r1.c1"/>
              </w:sdtPr>
              <w:sdtContent>
                <w:r>
                  <w:rPr>
                    <w:rFonts w:ascii="Arial" w:hAnsi="Arial" w:cs="Arial" w:eastAsia="Arial"/>
                    <w:b w:val="0"/>
                    <w:i w:val="0"/>
                    <w:sz w:val="18"/>
                    <w:highlight w:val="yellow"/>
                  </w:rPr>
                  <w:t>&lt;Objective&gt;</w:t>
                </w:r>
              </w:sdtContent>
            </w:sdt>
          </w:p>
        </w:tc>
        <w:tc>
          <w:tcPr>
            <w:tcW w:type="dxa" w:w="1770"/>
          </w:tcPr>
          <w:p>
            <w:pPr>
              <w:keepNext w:val="0"/>
              <w:spacing w:before="40" w:after="40" w:line="240" w:lineRule="auto"/>
            </w:pPr>
            <w:sdt>
              <w:sdtPr>
                <w:alias w:val="Owner"/>
                <w:tag w:val="02.t5.r1.c2"/>
              </w:sdtPr>
              <w:sdtContent>
                <w:r>
                  <w:rPr>
                    <w:rFonts w:ascii="Arial" w:hAnsi="Arial" w:cs="Arial" w:eastAsia="Arial"/>
                    <w:b w:val="0"/>
                    <w:i w:val="0"/>
                    <w:sz w:val="18"/>
                    <w:highlight w:val="yellow"/>
                  </w:rPr>
                  <w:t>&lt;Owner&gt;</w:t>
                </w:r>
              </w:sdtContent>
            </w:sdt>
          </w:p>
        </w:tc>
        <w:tc>
          <w:tcPr>
            <w:tcW w:type="dxa" w:w="1549"/>
          </w:tcPr>
          <w:p>
            <w:pPr>
              <w:keepNext w:val="0"/>
              <w:spacing w:before="40" w:after="40" w:line="240" w:lineRule="auto"/>
            </w:pPr>
            <w:sdt>
              <w:sdtPr>
                <w:alias w:val="Date"/>
                <w:tag w:val="02.t5.r1.c3"/>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Date"/>
                <w:tag w:val="02.t5.r1.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Amount"/>
                <w:tag w:val="02.t5.r1.c5"/>
              </w:sdtPr>
              <w:sdtContent>
                <w:r>
                  <w:rPr>
                    <w:rFonts w:ascii="Arial" w:hAnsi="Arial" w:cs="Arial" w:eastAsia="Arial"/>
                    <w:b w:val="0"/>
                    <w:i w:val="0"/>
                    <w:sz w:val="18"/>
                    <w:highlight w:val="yellow"/>
                  </w:rPr>
                  <w:t>&lt;Amount&gt;</w:t>
                </w:r>
              </w:sdtContent>
            </w:sdt>
          </w:p>
        </w:tc>
        <w:tc>
          <w:tcPr>
            <w:tcW w:type="dxa" w:w="1328"/>
          </w:tcPr>
          <w:p>
            <w:pPr>
              <w:keepNext w:val="0"/>
              <w:spacing w:before="40" w:after="40" w:line="240" w:lineRule="auto"/>
            </w:pPr>
            <w:sdt>
              <w:sdtPr>
                <w:alias w:val="Not started"/>
                <w:tag w:val="02.t5.r1.c6"/>
              </w:sdtPr>
              <w:sdtContent>
                <w:r>
                  <w:rPr>
                    <w:rFonts w:ascii="Arial" w:hAnsi="Arial" w:cs="Arial" w:eastAsia="Arial"/>
                    <w:b w:val="0"/>
                    <w:i w:val="0"/>
                    <w:sz w:val="18"/>
                    <w:highlight w:val="yellow"/>
                  </w:rPr>
                  <w:t>&lt;Not started&gt;</w:t>
                </w:r>
              </w:sdtContent>
            </w:sdt>
          </w:p>
        </w:tc>
      </w:tr>
      <w:tr>
        <w:trPr>
          <w:cantSplit w:val="true"/>
        </w:trPr>
        <w:tc>
          <w:tcPr>
            <w:tcW w:type="dxa" w:w="3541"/>
          </w:tcPr>
          <w:p>
            <w:pPr>
              <w:keepNext w:val="0"/>
              <w:spacing w:before="40" w:after="40" w:line="240" w:lineRule="auto"/>
            </w:pPr>
            <w:sdt>
              <w:sdtPr>
                <w:alias w:val="Initiative"/>
                <w:tag w:val="02.t5.r2.c0"/>
              </w:sdtPr>
              <w:sdtContent>
                <w:r>
                  <w:rPr>
                    <w:rFonts w:ascii="Arial" w:hAnsi="Arial" w:cs="Arial" w:eastAsia="Arial"/>
                    <w:b w:val="0"/>
                    <w:i w:val="0"/>
                    <w:sz w:val="18"/>
                    <w:highlight w:val="yellow"/>
                  </w:rPr>
                  <w:t>&lt;Initiative&gt;</w:t>
                </w:r>
              </w:sdtContent>
            </w:sdt>
          </w:p>
        </w:tc>
        <w:tc>
          <w:tcPr>
            <w:tcW w:type="dxa" w:w="2877"/>
          </w:tcPr>
          <w:p>
            <w:pPr>
              <w:keepNext w:val="0"/>
              <w:spacing w:before="40" w:after="40" w:line="240" w:lineRule="auto"/>
            </w:pPr>
            <w:sdt>
              <w:sdtPr>
                <w:alias w:val="Objective"/>
                <w:tag w:val="02.t5.r2.c1"/>
              </w:sdtPr>
              <w:sdtContent>
                <w:r>
                  <w:rPr>
                    <w:rFonts w:ascii="Arial" w:hAnsi="Arial" w:cs="Arial" w:eastAsia="Arial"/>
                    <w:b w:val="0"/>
                    <w:i w:val="0"/>
                    <w:sz w:val="18"/>
                    <w:highlight w:val="yellow"/>
                  </w:rPr>
                  <w:t>&lt;Objective&gt;</w:t>
                </w:r>
              </w:sdtContent>
            </w:sdt>
          </w:p>
        </w:tc>
        <w:tc>
          <w:tcPr>
            <w:tcW w:type="dxa" w:w="1770"/>
          </w:tcPr>
          <w:p>
            <w:pPr>
              <w:keepNext w:val="0"/>
              <w:spacing w:before="40" w:after="40" w:line="240" w:lineRule="auto"/>
            </w:pPr>
            <w:sdt>
              <w:sdtPr>
                <w:alias w:val="Owner"/>
                <w:tag w:val="02.t5.r2.c2"/>
              </w:sdtPr>
              <w:sdtContent>
                <w:r>
                  <w:rPr>
                    <w:rFonts w:ascii="Arial" w:hAnsi="Arial" w:cs="Arial" w:eastAsia="Arial"/>
                    <w:b w:val="0"/>
                    <w:i w:val="0"/>
                    <w:sz w:val="18"/>
                    <w:highlight w:val="yellow"/>
                  </w:rPr>
                  <w:t>&lt;Owner&gt;</w:t>
                </w:r>
              </w:sdtContent>
            </w:sdt>
          </w:p>
        </w:tc>
        <w:tc>
          <w:tcPr>
            <w:tcW w:type="dxa" w:w="1549"/>
          </w:tcPr>
          <w:p>
            <w:pPr>
              <w:keepNext w:val="0"/>
              <w:spacing w:before="40" w:after="40" w:line="240" w:lineRule="auto"/>
            </w:pPr>
            <w:sdt>
              <w:sdtPr>
                <w:alias w:val="Date"/>
                <w:tag w:val="02.t5.r2.c3"/>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Date"/>
                <w:tag w:val="02.t5.r2.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Amount"/>
                <w:tag w:val="02.t5.r2.c5"/>
              </w:sdtPr>
              <w:sdtContent>
                <w:r>
                  <w:rPr>
                    <w:rFonts w:ascii="Arial" w:hAnsi="Arial" w:cs="Arial" w:eastAsia="Arial"/>
                    <w:b w:val="0"/>
                    <w:i w:val="0"/>
                    <w:sz w:val="18"/>
                    <w:highlight w:val="yellow"/>
                  </w:rPr>
                  <w:t>&lt;Amount&gt;</w:t>
                </w:r>
              </w:sdtContent>
            </w:sdt>
          </w:p>
        </w:tc>
        <w:tc>
          <w:tcPr>
            <w:tcW w:type="dxa" w:w="1328"/>
          </w:tcPr>
          <w:p>
            <w:pPr>
              <w:keepNext w:val="0"/>
              <w:spacing w:before="40" w:after="40" w:line="240" w:lineRule="auto"/>
            </w:pPr>
            <w:sdt>
              <w:sdtPr>
                <w:alias w:val="Not started"/>
                <w:tag w:val="02.t5.r2.c6"/>
              </w:sdtPr>
              <w:sdtContent>
                <w:r>
                  <w:rPr>
                    <w:rFonts w:ascii="Arial" w:hAnsi="Arial" w:cs="Arial" w:eastAsia="Arial"/>
                    <w:b w:val="0"/>
                    <w:i w:val="0"/>
                    <w:sz w:val="18"/>
                    <w:highlight w:val="yellow"/>
                  </w:rPr>
                  <w:t>&lt;Not started&gt;</w:t>
                </w:r>
              </w:sdtContent>
            </w:sdt>
          </w:p>
        </w:tc>
      </w:tr>
      <w:tr>
        <w:trPr>
          <w:cantSplit w:val="true"/>
        </w:trPr>
        <w:tc>
          <w:tcPr>
            <w:tcW w:type="dxa" w:w="3541"/>
          </w:tcPr>
          <w:p>
            <w:pPr>
              <w:keepNext w:val="0"/>
              <w:spacing w:before="40" w:after="40" w:line="240" w:lineRule="auto"/>
            </w:pPr>
            <w:sdt>
              <w:sdtPr>
                <w:alias w:val="Initiative"/>
                <w:tag w:val="02.t5.r3.c0"/>
              </w:sdtPr>
              <w:sdtContent>
                <w:r>
                  <w:rPr>
                    <w:rFonts w:ascii="Arial" w:hAnsi="Arial" w:cs="Arial" w:eastAsia="Arial"/>
                    <w:b w:val="0"/>
                    <w:i w:val="0"/>
                    <w:sz w:val="18"/>
                    <w:highlight w:val="yellow"/>
                  </w:rPr>
                  <w:t>&lt;Initiative&gt;</w:t>
                </w:r>
              </w:sdtContent>
            </w:sdt>
          </w:p>
        </w:tc>
        <w:tc>
          <w:tcPr>
            <w:tcW w:type="dxa" w:w="2877"/>
          </w:tcPr>
          <w:p>
            <w:pPr>
              <w:keepNext w:val="0"/>
              <w:spacing w:before="40" w:after="40" w:line="240" w:lineRule="auto"/>
            </w:pPr>
            <w:sdt>
              <w:sdtPr>
                <w:alias w:val="Objective"/>
                <w:tag w:val="02.t5.r3.c1"/>
              </w:sdtPr>
              <w:sdtContent>
                <w:r>
                  <w:rPr>
                    <w:rFonts w:ascii="Arial" w:hAnsi="Arial" w:cs="Arial" w:eastAsia="Arial"/>
                    <w:b w:val="0"/>
                    <w:i w:val="0"/>
                    <w:sz w:val="18"/>
                    <w:highlight w:val="yellow"/>
                  </w:rPr>
                  <w:t>&lt;Objective&gt;</w:t>
                </w:r>
              </w:sdtContent>
            </w:sdt>
          </w:p>
        </w:tc>
        <w:tc>
          <w:tcPr>
            <w:tcW w:type="dxa" w:w="1770"/>
          </w:tcPr>
          <w:p>
            <w:pPr>
              <w:keepNext w:val="0"/>
              <w:spacing w:before="40" w:after="40" w:line="240" w:lineRule="auto"/>
            </w:pPr>
            <w:sdt>
              <w:sdtPr>
                <w:alias w:val="Owner"/>
                <w:tag w:val="02.t5.r3.c2"/>
              </w:sdtPr>
              <w:sdtContent>
                <w:r>
                  <w:rPr>
                    <w:rFonts w:ascii="Arial" w:hAnsi="Arial" w:cs="Arial" w:eastAsia="Arial"/>
                    <w:b w:val="0"/>
                    <w:i w:val="0"/>
                    <w:sz w:val="18"/>
                    <w:highlight w:val="yellow"/>
                  </w:rPr>
                  <w:t>&lt;Owner&gt;</w:t>
                </w:r>
              </w:sdtContent>
            </w:sdt>
          </w:p>
        </w:tc>
        <w:tc>
          <w:tcPr>
            <w:tcW w:type="dxa" w:w="1549"/>
          </w:tcPr>
          <w:p>
            <w:pPr>
              <w:keepNext w:val="0"/>
              <w:spacing w:before="40" w:after="40" w:line="240" w:lineRule="auto"/>
            </w:pPr>
            <w:sdt>
              <w:sdtPr>
                <w:alias w:val="Date"/>
                <w:tag w:val="02.t5.r3.c3"/>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Date"/>
                <w:tag w:val="02.t5.r3.c4"/>
              </w:sdtPr>
              <w:sdtContent>
                <w:r>
                  <w:rPr>
                    <w:rFonts w:ascii="Arial" w:hAnsi="Arial" w:cs="Arial" w:eastAsia="Arial"/>
                    <w:b w:val="0"/>
                    <w:i w:val="0"/>
                    <w:sz w:val="18"/>
                    <w:highlight w:val="yellow"/>
                  </w:rPr>
                  <w:t>&lt;Date&gt;</w:t>
                </w:r>
              </w:sdtContent>
            </w:sdt>
          </w:p>
        </w:tc>
        <w:tc>
          <w:tcPr>
            <w:tcW w:type="dxa" w:w="1549"/>
          </w:tcPr>
          <w:p>
            <w:pPr>
              <w:keepNext w:val="0"/>
              <w:spacing w:before="40" w:after="40" w:line="240" w:lineRule="auto"/>
            </w:pPr>
            <w:sdt>
              <w:sdtPr>
                <w:alias w:val="Amount"/>
                <w:tag w:val="02.t5.r3.c5"/>
              </w:sdtPr>
              <w:sdtContent>
                <w:r>
                  <w:rPr>
                    <w:rFonts w:ascii="Arial" w:hAnsi="Arial" w:cs="Arial" w:eastAsia="Arial"/>
                    <w:b w:val="0"/>
                    <w:i w:val="0"/>
                    <w:sz w:val="18"/>
                    <w:highlight w:val="yellow"/>
                  </w:rPr>
                  <w:t>&lt;Amount&gt;</w:t>
                </w:r>
              </w:sdtContent>
            </w:sdt>
          </w:p>
        </w:tc>
        <w:tc>
          <w:tcPr>
            <w:tcW w:type="dxa" w:w="1328"/>
          </w:tcPr>
          <w:p>
            <w:pPr>
              <w:keepNext w:val="0"/>
              <w:spacing w:before="40" w:after="40" w:line="240" w:lineRule="auto"/>
            </w:pPr>
            <w:sdt>
              <w:sdtPr>
                <w:alias w:val="Not started"/>
                <w:tag w:val="02.t5.r3.c6"/>
              </w:sdtPr>
              <w:sdtContent>
                <w:r>
                  <w:rPr>
                    <w:rFonts w:ascii="Arial" w:hAnsi="Arial" w:cs="Arial" w:eastAsia="Arial"/>
                    <w:b w:val="0"/>
                    <w:i w:val="0"/>
                    <w:sz w:val="18"/>
                    <w:highlight w:val="yellow"/>
                  </w:rPr>
                  <w:t>&lt;Not started&gt;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Governance of the strategy</w:t>
      </w:r>
    </w:p>
    <w:p>
      <w:pPr>
        <w:pStyle w:val="ListBullet"/>
        <w:keepNext w:val="0"/>
        <w:spacing w:before="0" w:after="60" w:line="276" w:lineRule="auto"/>
        <w:ind w:left="432" w:hanging="288"/>
      </w:pPr>
      <w:r>
        <w:rPr>
          <w:rFonts w:ascii="Arial" w:hAnsi="Arial" w:cs="Arial" w:eastAsia="Arial"/>
          <w:b w:val="0"/>
          <w:i w:val="0"/>
          <w:sz w:val="21"/>
        </w:rPr>
        <w:t>The CISO develops and maintains the strategy.</w:t>
      </w:r>
    </w:p>
    <w:p>
      <w:pPr>
        <w:pStyle w:val="ListBullet"/>
        <w:keepNext w:val="0"/>
        <w:spacing w:before="0" w:after="60" w:line="276" w:lineRule="auto"/>
        <w:ind w:left="432" w:hanging="288"/>
      </w:pP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approves it, and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endorses it.</w:t>
      </w:r>
    </w:p>
    <w:p>
      <w:pPr>
        <w:pStyle w:val="ListBullet"/>
        <w:keepNext w:val="0"/>
        <w:spacing w:before="0" w:after="60" w:line="276" w:lineRule="auto"/>
        <w:ind w:left="432" w:hanging="288"/>
      </w:pPr>
      <w:r>
        <w:rPr>
          <w:rFonts w:ascii="Arial" w:hAnsi="Arial" w:cs="Arial" w:eastAsia="Arial"/>
          <w:b w:val="0"/>
          <w:i w:val="0"/>
          <w:sz w:val="21"/>
        </w:rPr>
        <w:t xml:space="preserve">The roadmap is reviewed </w:t>
      </w:r>
      <w:sdt>
        <w:sdtPr>
          <w:alias w:val="How often indicators are reported to the committee"/>
          <w:tag w:val="kpi_frequency"/>
        </w:sdtPr>
        <w:sdtContent>
          <w:r>
            <w:rPr>
              <w:rFonts w:ascii="Arial" w:hAnsi="Arial" w:cs="Arial" w:eastAsia="Arial"/>
              <w:b w:val="0"/>
              <w:i w:val="0"/>
              <w:sz w:val="21"/>
              <w:highlight w:val="yellow"/>
            </w:rPr>
            <w:t>&lt;quarterly&gt;</w:t>
          </w:r>
        </w:sdtContent>
      </w:sdt>
      <w:r>
        <w:rPr>
          <w:rFonts w:ascii="Arial" w:hAnsi="Arial" w:cs="Arial" w:eastAsia="Arial"/>
          <w:b w:val="0"/>
          <w:i w:val="0"/>
          <w:sz w:val="21"/>
        </w:rPr>
        <w:t xml:space="preserve"> and the strategy as a whole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10.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2.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4699"/>
        <w:gridCol w:w="4699"/>
        <w:gridCol w:w="4699"/>
      </w:tblGrid>
      <w:tr>
        <w:trPr>
          <w:tblHeader w:val="true"/>
        </w:trPr>
        <w:tc>
          <w:tcPr>
            <w:tcW w:type="dxa" w:w="7525"/>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3984"/>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7525"/>
          </w:tcPr>
          <w:p>
            <w:pPr>
              <w:keepNext w:val="0"/>
              <w:spacing w:before="40" w:after="40" w:line="240" w:lineRule="auto"/>
            </w:pPr>
            <w:r>
              <w:rPr>
                <w:rFonts w:ascii="Arial" w:hAnsi="Arial" w:cs="Arial" w:eastAsia="Arial"/>
                <w:b w:val="0"/>
                <w:i w:val="0"/>
                <w:sz w:val="18"/>
              </w:rPr>
              <w:t>Roadmap initiatives on time</w:t>
            </w:r>
          </w:p>
        </w:tc>
        <w:tc>
          <w:tcPr>
            <w:tcW w:type="dxa" w:w="3984"/>
          </w:tcPr>
          <w:p>
            <w:pPr>
              <w:keepNext w:val="0"/>
              <w:spacing w:before="40" w:after="40" w:line="240" w:lineRule="auto"/>
            </w:pPr>
            <w:sdt>
              <w:sdtPr>
                <w:alias w:val="80%"/>
                <w:tag w:val="02.t6.r0.c1"/>
              </w:sdtPr>
              <w:sdtContent>
                <w:r>
                  <w:rPr>
                    <w:rFonts w:ascii="Arial" w:hAnsi="Arial" w:cs="Arial" w:eastAsia="Arial"/>
                    <w:b w:val="0"/>
                    <w:i w:val="0"/>
                    <w:sz w:val="18"/>
                    <w:highlight w:val="yellow"/>
                  </w:rPr>
                  <w:t>&lt;80%&gt;</w:t>
                </w:r>
              </w:sdtContent>
            </w:sdt>
          </w:p>
        </w:tc>
        <w:tc>
          <w:tcPr>
            <w:tcW w:type="dxa" w:w="2656"/>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7525"/>
          </w:tcPr>
          <w:p>
            <w:pPr>
              <w:keepNext w:val="0"/>
              <w:spacing w:before="40" w:after="40" w:line="240" w:lineRule="auto"/>
            </w:pPr>
            <w:r>
              <w:rPr>
                <w:rFonts w:ascii="Arial" w:hAnsi="Arial" w:cs="Arial" w:eastAsia="Arial"/>
                <w:b w:val="0"/>
                <w:i w:val="0"/>
                <w:sz w:val="18"/>
              </w:rPr>
              <w:t>Strategic objectives met</w:t>
            </w:r>
          </w:p>
        </w:tc>
        <w:tc>
          <w:tcPr>
            <w:tcW w:type="dxa" w:w="3984"/>
          </w:tcPr>
          <w:p>
            <w:pPr>
              <w:keepNext w:val="0"/>
              <w:spacing w:before="40" w:after="40" w:line="240" w:lineRule="auto"/>
            </w:pPr>
            <w:sdt>
              <w:sdtPr>
                <w:alias w:val="All, by the end of the period"/>
                <w:tag w:val="02.t6.r1.c1"/>
              </w:sdtPr>
              <w:sdtContent>
                <w:r>
                  <w:rPr>
                    <w:rFonts w:ascii="Arial" w:hAnsi="Arial" w:cs="Arial" w:eastAsia="Arial"/>
                    <w:b w:val="0"/>
                    <w:i w:val="0"/>
                    <w:sz w:val="18"/>
                    <w:highlight w:val="yellow"/>
                  </w:rPr>
                  <w:t>&lt;All, by the end of the period&gt;</w:t>
                </w:r>
              </w:sdtContent>
            </w:sdt>
          </w:p>
        </w:tc>
        <w:tc>
          <w:tcPr>
            <w:tcW w:type="dxa" w:w="2656"/>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11.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12.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endorsed by </w:t>
      </w:r>
      <w:sdt>
        <w:sdtPr>
          <w:alias w:val="The board, as you call it"/>
          <w:tag w:val="board_name"/>
        </w:sdtPr>
        <w:sdtContent>
          <w:r>
            <w:rPr>
              <w:rFonts w:ascii="Arial" w:hAnsi="Arial" w:cs="Arial" w:eastAsia="Arial"/>
              <w:b w:val="0"/>
              <w:i w:val="0"/>
              <w:sz w:val="21"/>
              <w:highlight w:val="yellow"/>
            </w:rPr>
            <w:t>&lt;the Board of Directors&gt;</w:t>
          </w:r>
        </w:sdtContent>
      </w:sdt>
      <w:r>
        <w:rPr>
          <w:rFonts w:ascii="Arial" w:hAnsi="Arial" w:cs="Arial" w:eastAsia="Arial"/>
          <w:b w:val="0"/>
          <w:i w:val="0"/>
          <w:sz w:val="21"/>
        </w:rPr>
        <w:t xml:space="preserve">, as the framework requires. It is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13.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1992"/>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12172"/>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992"/>
          </w:tcPr>
          <w:p>
            <w:pPr>
              <w:keepNext w:val="0"/>
              <w:spacing w:before="40" w:after="40" w:line="240" w:lineRule="auto"/>
            </w:pPr>
            <w:r>
              <w:rPr>
                <w:rFonts w:ascii="Arial" w:hAnsi="Arial" w:cs="Arial" w:eastAsia="Arial"/>
                <w:b w:val="0"/>
                <w:i w:val="0"/>
                <w:sz w:val="18"/>
              </w:rPr>
              <w:t>3.1.2.1</w:t>
            </w:r>
          </w:p>
        </w:tc>
        <w:tc>
          <w:tcPr>
            <w:tcW w:type="dxa" w:w="12172"/>
          </w:tcPr>
          <w:p>
            <w:pPr>
              <w:keepNext w:val="0"/>
              <w:spacing w:before="40" w:after="40" w:line="240" w:lineRule="auto"/>
            </w:pPr>
            <w:r>
              <w:rPr>
                <w:rFonts w:ascii="Arial" w:hAnsi="Arial" w:cs="Arial" w:eastAsia="Arial"/>
                <w:b w:val="0"/>
                <w:i w:val="0"/>
                <w:sz w:val="18"/>
              </w:rPr>
              <w:t>Strategy defined, approved, kept up to date and carried out</w:t>
            </w:r>
          </w:p>
        </w:tc>
      </w:tr>
      <w:tr>
        <w:trPr>
          <w:cantSplit w:val="true"/>
        </w:trPr>
        <w:tc>
          <w:tcPr>
            <w:tcW w:type="dxa" w:w="1992"/>
          </w:tcPr>
          <w:p>
            <w:pPr>
              <w:keepNext w:val="0"/>
              <w:spacing w:before="40" w:after="40" w:line="240" w:lineRule="auto"/>
            </w:pPr>
            <w:r>
              <w:rPr>
                <w:rFonts w:ascii="Arial" w:hAnsi="Arial" w:cs="Arial" w:eastAsia="Arial"/>
                <w:b w:val="0"/>
                <w:i w:val="0"/>
                <w:sz w:val="18"/>
              </w:rPr>
              <w:t>3.1.2.2</w:t>
            </w:r>
          </w:p>
        </w:tc>
        <w:tc>
          <w:tcPr>
            <w:tcW w:type="dxa" w:w="12172"/>
          </w:tcPr>
          <w:p>
            <w:pPr>
              <w:keepNext w:val="0"/>
              <w:spacing w:before="40" w:after="40" w:line="240" w:lineRule="auto"/>
            </w:pPr>
            <w:r>
              <w:rPr>
                <w:rFonts w:ascii="Arial" w:hAnsi="Arial" w:cs="Arial" w:eastAsia="Arial"/>
                <w:b w:val="0"/>
                <w:i w:val="0"/>
                <w:sz w:val="18"/>
              </w:rPr>
              <w:t>Aligned with the business, the law and the banking sector's strategy</w:t>
            </w:r>
          </w:p>
        </w:tc>
      </w:tr>
      <w:tr>
        <w:trPr>
          <w:cantSplit w:val="true"/>
        </w:trPr>
        <w:tc>
          <w:tcPr>
            <w:tcW w:type="dxa" w:w="1992"/>
          </w:tcPr>
          <w:p>
            <w:pPr>
              <w:keepNext w:val="0"/>
              <w:spacing w:before="40" w:after="40" w:line="240" w:lineRule="auto"/>
            </w:pPr>
            <w:r>
              <w:rPr>
                <w:rFonts w:ascii="Arial" w:hAnsi="Arial" w:cs="Arial" w:eastAsia="Arial"/>
                <w:b w:val="0"/>
                <w:i w:val="0"/>
                <w:sz w:val="18"/>
              </w:rPr>
              <w:t>3.1.2.3</w:t>
            </w:r>
          </w:p>
        </w:tc>
        <w:tc>
          <w:tcPr>
            <w:tcW w:type="dxa" w:w="12172"/>
          </w:tcPr>
          <w:p>
            <w:pPr>
              <w:keepNext w:val="0"/>
              <w:spacing w:before="40" w:after="40" w:line="240" w:lineRule="auto"/>
            </w:pPr>
            <w:r>
              <w:rPr>
                <w:rFonts w:ascii="Arial" w:hAnsi="Arial" w:cs="Arial" w:eastAsia="Arial"/>
                <w:b w:val="0"/>
                <w:i w:val="0"/>
                <w:sz w:val="18"/>
              </w:rPr>
              <w:t>States why security matters, the future state, and the initiatives and timeline</w:t>
            </w:r>
          </w:p>
        </w:tc>
      </w:tr>
    </w:tbl>
    <w:p>
      <w:pPr>
        <w:keepNext w:val="0"/>
        <w:spacing w:before="0" w:after="80" w:line="240" w:lineRule="auto"/>
      </w:pPr>
    </w:p>
    <w:sectPr w:rsidR="00FC693F" w:rsidRPr="0006063C" w:rsidSect="00034616">
      <w:headerReference w:type="default" r:id="rId9"/>
      <w:footerReference w:type="default" r:id="rId10"/>
      <w:pgSz w:w="16834" w:h="11909"/>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7049"/>
      <w:gridCol w:w="7049"/>
    </w:tblGrid>
    <w:tr>
      <w:tc>
        <w:tcPr>
          <w:tcW w:type="dxa" w:w="11549"/>
        </w:tcPr>
        <w:p>
          <w:pPr>
            <w:keepNext w:val="0"/>
            <w:spacing w:before="0" w:after="0" w:line="240" w:lineRule="auto"/>
          </w:pPr>
          <w:r>
            <w:rPr>
              <w:rFonts w:ascii="Arial" w:hAnsi="Arial" w:cs="Arial" w:eastAsia="Arial"/>
              <w:b w:val="0"/>
              <w:i w:val="0"/>
              <w:color w:val="5B6678"/>
              <w:sz w:val="17"/>
            </w:rPr>
            <w:t>Cyber Security Strategy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Strategy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