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Policy</w:t>
      </w:r>
    </w:p>
    <w:p>
      <w:pPr>
        <w:keepNext w:val="0"/>
        <w:spacing w:before="0" w:after="200" w:line="240" w:lineRule="auto"/>
      </w:pPr>
      <w:r>
        <w:rPr>
          <w:rFonts w:ascii="Arial" w:hAnsi="Arial" w:cs="Arial" w:eastAsia="Arial"/>
          <w:b w:val="0"/>
          <w:i w:val="0"/>
          <w:color w:val="5B6678"/>
          <w:sz w:val="21"/>
        </w:rPr>
        <w:t>The organisation's commitment to cyber security, its objectives, and the rules everyone follows.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SAMA-03</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policy states the commitment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to cyber security and the objectives it sets. It is the top document in the cyber security set. Every standard and procedure sits under it.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applies to everyone who works for or on behalf of the organisation, including employees, contractors, temporary staff and third parties with access to its information or systems, and to all information in any form and every system that holds it.</w:t>
      </w:r>
    </w:p>
    <w:p>
      <w:pPr>
        <w:keepNext/>
        <w:spacing w:before="280" w:after="120" w:line="264" w:lineRule="auto"/>
      </w:pPr>
      <w:r>
        <w:rPr>
          <w:rFonts w:ascii="Arial" w:hAnsi="Arial" w:cs="Arial" w:eastAsia="Arial"/>
          <w:b/>
          <w:i w:val="0"/>
          <w:color w:val="1B253B"/>
          <w:sz w:val="28"/>
        </w:rPr>
        <w:t>3. What cyber security means here</w:t>
      </w:r>
    </w:p>
    <w:p>
      <w:pPr>
        <w:keepNext w:val="0"/>
        <w:spacing w:before="0" w:after="120" w:line="276" w:lineRule="auto"/>
      </w:pPr>
      <w:r>
        <w:rPr>
          <w:rFonts w:ascii="Arial" w:hAnsi="Arial" w:cs="Arial" w:eastAsia="Arial"/>
          <w:b w:val="0"/>
          <w:i w:val="0"/>
          <w:sz w:val="21"/>
        </w:rPr>
        <w:t>Cyber security is the protection of the confidentiality, integrity and availability of the organisation's information and the systems that hold it, against threats that arise from, or are made worse by, connected technology and people.</w:t>
      </w:r>
    </w:p>
    <w:p>
      <w:pPr>
        <w:keepNext/>
        <w:spacing w:before="280" w:after="120" w:line="264" w:lineRule="auto"/>
      </w:pPr>
      <w:r>
        <w:rPr>
          <w:rFonts w:ascii="Arial" w:hAnsi="Arial" w:cs="Arial" w:eastAsia="Arial"/>
          <w:b/>
          <w:i w:val="0"/>
          <w:color w:val="1B253B"/>
          <w:sz w:val="28"/>
        </w:rPr>
        <w:t>4. Objectives</w:t>
      </w:r>
    </w:p>
    <w:p>
      <w:pPr>
        <w:pStyle w:val="ListBullet"/>
        <w:keepNext w:val="0"/>
        <w:spacing w:before="0" w:after="60" w:line="276" w:lineRule="auto"/>
        <w:ind w:left="432" w:hanging="288"/>
      </w:pPr>
      <w:r>
        <w:rPr>
          <w:rFonts w:ascii="Arial" w:hAnsi="Arial" w:cs="Arial" w:eastAsia="Arial"/>
          <w:b w:val="0"/>
          <w:i w:val="0"/>
          <w:sz w:val="21"/>
        </w:rPr>
        <w:t>Protect customer, business and employee information from unauthorised access, change and loss.</w:t>
      </w:r>
    </w:p>
    <w:p>
      <w:pPr>
        <w:pStyle w:val="ListBullet"/>
        <w:keepNext w:val="0"/>
        <w:spacing w:before="0" w:after="60" w:line="276" w:lineRule="auto"/>
        <w:ind w:left="432" w:hanging="288"/>
      </w:pPr>
      <w:r>
        <w:rPr>
          <w:rFonts w:ascii="Arial" w:hAnsi="Arial" w:cs="Arial" w:eastAsia="Arial"/>
          <w:b w:val="0"/>
          <w:i w:val="0"/>
          <w:sz w:val="21"/>
        </w:rPr>
        <w:t>Keep services available when customers and the business need them.</w:t>
      </w:r>
    </w:p>
    <w:p>
      <w:pPr>
        <w:pStyle w:val="ListBullet"/>
        <w:keepNext w:val="0"/>
        <w:spacing w:before="0" w:after="60" w:line="276" w:lineRule="auto"/>
        <w:ind w:left="432" w:hanging="288"/>
      </w:pPr>
      <w:r>
        <w:rPr>
          <w:rFonts w:ascii="Arial" w:hAnsi="Arial" w:cs="Arial" w:eastAsia="Arial"/>
          <w:b w:val="0"/>
          <w:i w:val="0"/>
          <w:sz w:val="21"/>
        </w:rPr>
        <w:t>Meet the laws, regulations and contracts that apply, including the SAMA Cyber Security Framework.</w:t>
      </w:r>
    </w:p>
    <w:p>
      <w:pPr>
        <w:pStyle w:val="ListBullet"/>
        <w:keepNext w:val="0"/>
        <w:spacing w:before="0" w:after="60" w:line="276" w:lineRule="auto"/>
        <w:ind w:left="432" w:hanging="288"/>
      </w:pPr>
      <w:r>
        <w:rPr>
          <w:rFonts w:ascii="Arial" w:hAnsi="Arial" w:cs="Arial" w:eastAsia="Arial"/>
          <w:b w:val="0"/>
          <w:i w:val="0"/>
          <w:sz w:val="21"/>
        </w:rPr>
        <w:t>Find, assess and treat cyber security risks in line with the risk appetite set by the board.</w:t>
      </w:r>
    </w:p>
    <w:p>
      <w:pPr>
        <w:pStyle w:val="ListBullet"/>
        <w:keepNext w:val="0"/>
        <w:spacing w:before="0" w:after="60" w:line="276" w:lineRule="auto"/>
        <w:ind w:left="432" w:hanging="288"/>
      </w:pPr>
      <w:r>
        <w:rPr>
          <w:rFonts w:ascii="Arial" w:hAnsi="Arial" w:cs="Arial" w:eastAsia="Arial"/>
          <w:b w:val="0"/>
          <w:i w:val="0"/>
          <w:sz w:val="21"/>
        </w:rPr>
        <w:t>Build a culture in which people understand and take their part in keeping information safe.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Statement of the board's intent</w:t>
      </w:r>
    </w:p>
    <w:p>
      <w:pPr>
        <w:keepNext w:val="0"/>
        <w:spacing w:before="0" w:after="120" w:line="276" w:lineRule="auto"/>
      </w:pP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is committed to cyber security. It will provide the people, budget and tools that are needed, will receive regular reports on how well the organisation is protected, and expects everyone to follow this policy.</w:t>
      </w:r>
    </w:p>
    <w:p>
      <w:pPr>
        <w:keepNext/>
        <w:spacing w:before="280" w:after="120" w:line="264" w:lineRule="auto"/>
      </w:pPr>
      <w:r>
        <w:rPr>
          <w:rFonts w:ascii="Arial" w:hAnsi="Arial" w:cs="Arial" w:eastAsia="Arial"/>
          <w:b/>
          <w:i w:val="0"/>
          <w:color w:val="1B253B"/>
          <w:sz w:val="28"/>
        </w:rPr>
        <w:t>6. Requirements</w:t>
      </w:r>
    </w:p>
    <w:p>
      <w:pPr>
        <w:pStyle w:val="ListBullet"/>
        <w:keepNext w:val="0"/>
        <w:spacing w:before="0" w:after="60" w:line="276" w:lineRule="auto"/>
        <w:ind w:left="432" w:hanging="288"/>
      </w:pPr>
      <w:r>
        <w:rPr>
          <w:rFonts w:ascii="Arial" w:hAnsi="Arial" w:cs="Arial" w:eastAsia="Arial"/>
          <w:b/>
          <w:i w:val="0"/>
          <w:sz w:val="21"/>
        </w:rPr>
        <w:t>Classification.</w:t>
      </w:r>
      <w:r>
        <w:rPr>
          <w:rFonts w:ascii="Arial" w:hAnsi="Arial" w:cs="Arial" w:eastAsia="Arial"/>
          <w:b w:val="0"/>
          <w:i w:val="0"/>
          <w:sz w:val="21"/>
        </w:rPr>
        <w:t xml:space="preserve"> All information is classified by its importance, and handled as its classification requires.</w:t>
      </w:r>
    </w:p>
    <w:p>
      <w:pPr>
        <w:pStyle w:val="ListBullet"/>
        <w:keepNext w:val="0"/>
        <w:spacing w:before="0" w:after="60" w:line="276" w:lineRule="auto"/>
        <w:ind w:left="432" w:hanging="288"/>
      </w:pPr>
      <w:r>
        <w:rPr>
          <w:rFonts w:ascii="Arial" w:hAnsi="Arial" w:cs="Arial" w:eastAsia="Arial"/>
          <w:b/>
          <w:i w:val="0"/>
          <w:sz w:val="21"/>
        </w:rPr>
        <w:t>Ownership.</w:t>
      </w:r>
      <w:r>
        <w:rPr>
          <w:rFonts w:ascii="Arial" w:hAnsi="Arial" w:cs="Arial" w:eastAsia="Arial"/>
          <w:b w:val="0"/>
          <w:i w:val="0"/>
          <w:sz w:val="21"/>
        </w:rPr>
        <w:t xml:space="preserve"> Every information asset has an owner who is accountable for it.</w:t>
      </w:r>
    </w:p>
    <w:p>
      <w:pPr>
        <w:pStyle w:val="ListBullet"/>
        <w:keepNext w:val="0"/>
        <w:spacing w:before="0" w:after="60" w:line="276" w:lineRule="auto"/>
        <w:ind w:left="432" w:hanging="288"/>
      </w:pPr>
      <w:r>
        <w:rPr>
          <w:rFonts w:ascii="Arial" w:hAnsi="Arial" w:cs="Arial" w:eastAsia="Arial"/>
          <w:b/>
          <w:i w:val="0"/>
          <w:sz w:val="21"/>
        </w:rPr>
        <w:t>Risk.</w:t>
      </w:r>
      <w:r>
        <w:rPr>
          <w:rFonts w:ascii="Arial" w:hAnsi="Arial" w:cs="Arial" w:eastAsia="Arial"/>
          <w:b w:val="0"/>
          <w:i w:val="0"/>
          <w:sz w:val="21"/>
        </w:rPr>
        <w:t xml:space="preserve"> Information assets are risk assessed, and protected in line with the risk appetite.</w:t>
      </w:r>
    </w:p>
    <w:p>
      <w:pPr>
        <w:pStyle w:val="ListBullet"/>
        <w:keepNext w:val="0"/>
        <w:spacing w:before="0" w:after="60" w:line="276" w:lineRule="auto"/>
        <w:ind w:left="432" w:hanging="288"/>
      </w:pPr>
      <w:r>
        <w:rPr>
          <w:rFonts w:ascii="Arial" w:hAnsi="Arial" w:cs="Arial" w:eastAsia="Arial"/>
          <w:b/>
          <w:i w:val="0"/>
          <w:sz w:val="21"/>
        </w:rPr>
        <w:t>Awareness.</w:t>
      </w:r>
      <w:r>
        <w:rPr>
          <w:rFonts w:ascii="Arial" w:hAnsi="Arial" w:cs="Arial" w:eastAsia="Arial"/>
          <w:b w:val="0"/>
          <w:i w:val="0"/>
          <w:sz w:val="21"/>
        </w:rPr>
        <w:t xml:space="preserve"> People are made aware of cyber security and of what is expected of them.</w:t>
      </w:r>
    </w:p>
    <w:p>
      <w:pPr>
        <w:pStyle w:val="ListBullet"/>
        <w:keepNext w:val="0"/>
        <w:spacing w:before="0" w:after="60" w:line="276" w:lineRule="auto"/>
        <w:ind w:left="432" w:hanging="288"/>
      </w:pPr>
      <w:r>
        <w:rPr>
          <w:rFonts w:ascii="Arial" w:hAnsi="Arial" w:cs="Arial" w:eastAsia="Arial"/>
          <w:b/>
          <w:i w:val="0"/>
          <w:sz w:val="21"/>
        </w:rPr>
        <w:t>Compliance.</w:t>
      </w:r>
      <w:r>
        <w:rPr>
          <w:rFonts w:ascii="Arial" w:hAnsi="Arial" w:cs="Arial" w:eastAsia="Arial"/>
          <w:b w:val="0"/>
          <w:i w:val="0"/>
          <w:sz w:val="21"/>
        </w:rPr>
        <w:t xml:space="preserve"> Regulatory and contractual obligations are met, and the way they are met is recorded.</w:t>
      </w:r>
    </w:p>
    <w:p>
      <w:pPr>
        <w:pStyle w:val="ListBullet"/>
        <w:keepNext w:val="0"/>
        <w:spacing w:before="0" w:after="60" w:line="276" w:lineRule="auto"/>
        <w:ind w:left="432" w:hanging="288"/>
      </w:pPr>
      <w:r>
        <w:rPr>
          <w:rFonts w:ascii="Arial" w:hAnsi="Arial" w:cs="Arial" w:eastAsia="Arial"/>
          <w:b/>
          <w:i w:val="0"/>
          <w:sz w:val="21"/>
        </w:rPr>
        <w:t>Reporting.</w:t>
      </w:r>
      <w:r>
        <w:rPr>
          <w:rFonts w:ascii="Arial" w:hAnsi="Arial" w:cs="Arial" w:eastAsia="Arial"/>
          <w:b w:val="0"/>
          <w:i w:val="0"/>
          <w:sz w:val="21"/>
        </w:rPr>
        <w:t xml:space="preserve"> Breaches and suspected weaknesses are reported at once to </w:t>
      </w:r>
      <w:sdt>
        <w:sdtPr>
          <w:alias w:val="Where people report security incidents"/>
          <w:tag w:val="security_contact"/>
        </w:sdtPr>
        <w:sdtContent>
          <w:r>
            <w:rPr>
              <w:rFonts w:ascii="Arial" w:hAnsi="Arial" w:cs="Arial" w:eastAsia="Arial"/>
              <w:b w:val="0"/>
              <w:i w:val="0"/>
              <w:sz w:val="21"/>
              <w:highlight w:val="yellow"/>
            </w:rPr>
            <w:t>&lt;the security contact&gt;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i w:val="0"/>
          <w:sz w:val="21"/>
        </w:rPr>
        <w:t>Continuity.</w:t>
      </w:r>
      <w:r>
        <w:rPr>
          <w:rFonts w:ascii="Arial" w:hAnsi="Arial" w:cs="Arial" w:eastAsia="Arial"/>
          <w:b w:val="0"/>
          <w:i w:val="0"/>
          <w:sz w:val="21"/>
        </w:rPr>
        <w:t xml:space="preserve"> Cyber security is part of business continuity management.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Responsibilities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592"/>
            <w:shd w:val="clear" w:color="auto" w:fill="DCE6F5"/>
          </w:tcPr>
          <w:p>
            <w:pPr>
              <w:keepNext w:val="0"/>
              <w:spacing w:before="40" w:after="40" w:line="240" w:lineRule="auto"/>
            </w:pPr>
            <w:r>
              <w:rPr>
                <w:rFonts w:ascii="Arial" w:hAnsi="Arial" w:cs="Arial" w:eastAsia="Arial"/>
                <w:b/>
                <w:i w:val="0"/>
                <w:color w:val="1B253B"/>
                <w:sz w:val="18"/>
              </w:rPr>
              <w:t>Who</w:t>
            </w:r>
          </w:p>
        </w:tc>
        <w:tc>
          <w:tcPr>
            <w:tcW w:type="dxa" w:w="6624"/>
            <w:shd w:val="clear" w:color="auto" w:fill="DCE6F5"/>
          </w:tcPr>
          <w:p>
            <w:pPr>
              <w:keepNext w:val="0"/>
              <w:spacing w:before="40" w:after="40" w:line="240" w:lineRule="auto"/>
            </w:pPr>
            <w:r>
              <w:rPr>
                <w:rFonts w:ascii="Arial" w:hAnsi="Arial" w:cs="Arial" w:eastAsia="Arial"/>
                <w:b/>
                <w:i w:val="0"/>
                <w:color w:val="1B253B"/>
                <w:sz w:val="18"/>
              </w:rPr>
              <w:t>General responsibility under this policy</w:t>
            </w:r>
          </w:p>
        </w:tc>
      </w:tr>
      <w:tr>
        <w:trPr>
          <w:cantSplit w:val="true"/>
        </w:trPr>
        <w:tc>
          <w:tcPr>
            <w:tcW w:type="dxa" w:w="2592"/>
          </w:tcPr>
          <w:p>
            <w:pPr>
              <w:keepNext w:val="0"/>
              <w:spacing w:before="40" w:after="40" w:line="240" w:lineRule="auto"/>
            </w:pPr>
            <w:r>
              <w:rPr>
                <w:rFonts w:ascii="Arial" w:hAnsi="Arial" w:cs="Arial" w:eastAsia="Arial"/>
                <w:b w:val="0"/>
                <w:i w:val="0"/>
                <w:sz w:val="18"/>
              </w:rPr>
              <w:t>The board</w:t>
            </w:r>
          </w:p>
        </w:tc>
        <w:tc>
          <w:tcPr>
            <w:tcW w:type="dxa" w:w="6624"/>
          </w:tcPr>
          <w:p>
            <w:pPr>
              <w:keepNext w:val="0"/>
              <w:spacing w:before="40" w:after="40" w:line="240" w:lineRule="auto"/>
            </w:pPr>
            <w:r>
              <w:rPr>
                <w:rFonts w:ascii="Arial" w:hAnsi="Arial" w:cs="Arial" w:eastAsia="Arial"/>
                <w:b w:val="0"/>
                <w:i w:val="0"/>
                <w:sz w:val="18"/>
              </w:rPr>
              <w:t>Holds ultimate responsibility. Provides the budget, approves the committee charter and endorses the governance, strategy and this policy.</w:t>
            </w:r>
          </w:p>
        </w:tc>
      </w:tr>
      <w:tr>
        <w:trPr>
          <w:cantSplit w:val="true"/>
        </w:trPr>
        <w:tc>
          <w:tcPr>
            <w:tcW w:type="dxa" w:w="2592"/>
          </w:tcPr>
          <w:p>
            <w:pPr>
              <w:keepNext w:val="0"/>
              <w:spacing w:before="40" w:after="40" w:line="240" w:lineRule="auto"/>
            </w:pPr>
            <w:r>
              <w:rPr>
                <w:rFonts w:ascii="Arial" w:hAnsi="Arial" w:cs="Arial" w:eastAsia="Arial"/>
                <w:b w:val="0"/>
                <w:i w:val="0"/>
                <w:sz w:val="18"/>
              </w:rPr>
              <w:t>The cyber security committee</w:t>
            </w:r>
          </w:p>
        </w:tc>
        <w:tc>
          <w:tcPr>
            <w:tcW w:type="dxa" w:w="6624"/>
          </w:tcPr>
          <w:p>
            <w:pPr>
              <w:keepNext w:val="0"/>
              <w:spacing w:before="40" w:after="40" w:line="240" w:lineRule="auto"/>
            </w:pPr>
            <w:r>
              <w:rPr>
                <w:rFonts w:ascii="Arial" w:hAnsi="Arial" w:cs="Arial" w:eastAsia="Arial"/>
                <w:b w:val="0"/>
                <w:i w:val="0"/>
                <w:sz w:val="18"/>
              </w:rPr>
              <w:t>Approves this policy and the programmes under it, and monitors results.</w:t>
            </w:r>
          </w:p>
        </w:tc>
      </w:tr>
      <w:tr>
        <w:trPr>
          <w:cantSplit w:val="true"/>
        </w:trPr>
        <w:tc>
          <w:tcPr>
            <w:tcW w:type="dxa" w:w="2592"/>
          </w:tcPr>
          <w:p>
            <w:pPr>
              <w:keepNext w:val="0"/>
              <w:spacing w:before="40" w:after="40" w:line="240" w:lineRule="auto"/>
            </w:pPr>
            <w:r>
              <w:rPr>
                <w:rFonts w:ascii="Arial" w:hAnsi="Arial" w:cs="Arial" w:eastAsia="Arial"/>
                <w:b w:val="0"/>
                <w:i w:val="0"/>
                <w:sz w:val="18"/>
              </w:rPr>
              <w:t>Senior management</w:t>
            </w:r>
          </w:p>
        </w:tc>
        <w:tc>
          <w:tcPr>
            <w:tcW w:type="dxa" w:w="6624"/>
          </w:tcPr>
          <w:p>
            <w:pPr>
              <w:keepNext w:val="0"/>
              <w:spacing w:before="40" w:after="40" w:line="240" w:lineRule="auto"/>
            </w:pPr>
            <w:r>
              <w:rPr>
                <w:rFonts w:ascii="Arial" w:hAnsi="Arial" w:cs="Arial" w:eastAsia="Arial"/>
                <w:b w:val="0"/>
                <w:i w:val="0"/>
                <w:sz w:val="18"/>
              </w:rPr>
              <w:t>Makes sure standards and procedures reflect security requirements, and that people follow them.</w:t>
            </w:r>
          </w:p>
        </w:tc>
      </w:tr>
      <w:tr>
        <w:trPr>
          <w:cantSplit w:val="true"/>
        </w:trPr>
        <w:tc>
          <w:tcPr>
            <w:tcW w:type="dxa" w:w="2592"/>
          </w:tcPr>
          <w:p>
            <w:pPr>
              <w:keepNext w:val="0"/>
              <w:spacing w:before="40" w:after="40" w:line="240" w:lineRule="auto"/>
            </w:pPr>
            <w:r>
              <w:rPr>
                <w:rFonts w:ascii="Arial" w:hAnsi="Arial" w:cs="Arial" w:eastAsia="Arial"/>
                <w:b w:val="0"/>
                <w:i w:val="0"/>
                <w:sz w:val="18"/>
              </w:rPr>
              <w:t>The CISO</w:t>
            </w:r>
          </w:p>
        </w:tc>
        <w:tc>
          <w:tcPr>
            <w:tcW w:type="dxa" w:w="6624"/>
          </w:tcPr>
          <w:p>
            <w:pPr>
              <w:keepNext w:val="0"/>
              <w:spacing w:before="40" w:after="40" w:line="240" w:lineRule="auto"/>
            </w:pPr>
            <w:r>
              <w:rPr>
                <w:rFonts w:ascii="Arial" w:hAnsi="Arial" w:cs="Arial" w:eastAsia="Arial"/>
                <w:b w:val="0"/>
                <w:i w:val="0"/>
                <w:sz w:val="18"/>
              </w:rPr>
              <w:t>Develops and maintains this policy, the standards and procedures under it, and reports on compliance.</w:t>
            </w:r>
          </w:p>
        </w:tc>
      </w:tr>
      <w:tr>
        <w:trPr>
          <w:cantSplit w:val="true"/>
        </w:trPr>
        <w:tc>
          <w:tcPr>
            <w:tcW w:type="dxa" w:w="2592"/>
          </w:tcPr>
          <w:p>
            <w:pPr>
              <w:keepNext w:val="0"/>
              <w:spacing w:before="40" w:after="40" w:line="240" w:lineRule="auto"/>
            </w:pPr>
            <w:r>
              <w:rPr>
                <w:rFonts w:ascii="Arial" w:hAnsi="Arial" w:cs="Arial" w:eastAsia="Arial"/>
                <w:b w:val="0"/>
                <w:i w:val="0"/>
                <w:sz w:val="18"/>
              </w:rPr>
              <w:t>Internal audit</w:t>
            </w:r>
          </w:p>
        </w:tc>
        <w:tc>
          <w:tcPr>
            <w:tcW w:type="dxa" w:w="6624"/>
          </w:tcPr>
          <w:p>
            <w:pPr>
              <w:keepNext w:val="0"/>
              <w:spacing w:before="40" w:after="40" w:line="240" w:lineRule="auto"/>
            </w:pPr>
            <w:r>
              <w:rPr>
                <w:rFonts w:ascii="Arial" w:hAnsi="Arial" w:cs="Arial" w:eastAsia="Arial"/>
                <w:b w:val="0"/>
                <w:i w:val="0"/>
                <w:sz w:val="18"/>
              </w:rPr>
              <w:t>Audits compliance independently.</w:t>
            </w:r>
          </w:p>
        </w:tc>
      </w:tr>
      <w:tr>
        <w:trPr>
          <w:cantSplit w:val="true"/>
        </w:trPr>
        <w:tc>
          <w:tcPr>
            <w:tcW w:type="dxa" w:w="2592"/>
          </w:tcPr>
          <w:p>
            <w:pPr>
              <w:keepNext w:val="0"/>
              <w:spacing w:before="40" w:after="40" w:line="240" w:lineRule="auto"/>
            </w:pPr>
            <w:r>
              <w:rPr>
                <w:rFonts w:ascii="Arial" w:hAnsi="Arial" w:cs="Arial" w:eastAsia="Arial"/>
                <w:b w:val="0"/>
                <w:i w:val="0"/>
                <w:sz w:val="18"/>
              </w:rPr>
              <w:t>Every member of staff</w:t>
            </w:r>
          </w:p>
        </w:tc>
        <w:tc>
          <w:tcPr>
            <w:tcW w:type="dxa" w:w="6624"/>
          </w:tcPr>
          <w:p>
            <w:pPr>
              <w:keepNext w:val="0"/>
              <w:spacing w:before="40" w:after="40" w:line="240" w:lineRule="auto"/>
            </w:pPr>
            <w:r>
              <w:rPr>
                <w:rFonts w:ascii="Arial" w:hAnsi="Arial" w:cs="Arial" w:eastAsia="Arial"/>
                <w:b w:val="0"/>
                <w:i w:val="0"/>
                <w:sz w:val="18"/>
              </w:rPr>
              <w:t>Follows this policy, the standards and the procedures, and reports incidents and weaknesses.</w:t>
            </w:r>
          </w:p>
        </w:tc>
      </w:tr>
      <w:tr>
        <w:trPr>
          <w:cantSplit w:val="true"/>
        </w:trPr>
        <w:tc>
          <w:tcPr>
            <w:tcW w:type="dxa" w:w="2592"/>
          </w:tcPr>
          <w:p>
            <w:pPr>
              <w:keepNext w:val="0"/>
              <w:spacing w:before="40" w:after="40" w:line="240" w:lineRule="auto"/>
            </w:pPr>
            <w:r>
              <w:rPr>
                <w:rFonts w:ascii="Arial" w:hAnsi="Arial" w:cs="Arial" w:eastAsia="Arial"/>
                <w:b w:val="0"/>
                <w:i w:val="0"/>
                <w:sz w:val="18"/>
              </w:rPr>
              <w:t>Third parties</w:t>
            </w:r>
          </w:p>
        </w:tc>
        <w:tc>
          <w:tcPr>
            <w:tcW w:type="dxa" w:w="6624"/>
          </w:tcPr>
          <w:p>
            <w:pPr>
              <w:keepNext w:val="0"/>
              <w:spacing w:before="40" w:after="40" w:line="240" w:lineRule="auto"/>
            </w:pPr>
            <w:r>
              <w:rPr>
                <w:rFonts w:ascii="Arial" w:hAnsi="Arial" w:cs="Arial" w:eastAsia="Arial"/>
                <w:b w:val="0"/>
                <w:i w:val="0"/>
                <w:sz w:val="18"/>
              </w:rPr>
              <w:t>Meet the security requirements in their contracts.</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The detailed responsibilities are in the Roles and Responsibilities document (SAMA-04).</w:t>
      </w:r>
    </w:p>
    <w:p>
      <w:pPr>
        <w:keepNext/>
        <w:spacing w:before="280" w:after="120" w:line="264" w:lineRule="auto"/>
      </w:pPr>
      <w:r>
        <w:rPr>
          <w:rFonts w:ascii="Arial" w:hAnsi="Arial" w:cs="Arial" w:eastAsia="Arial"/>
          <w:b/>
          <w:i w:val="0"/>
          <w:color w:val="1B253B"/>
          <w:sz w:val="28"/>
        </w:rPr>
        <w:t>8. Supporting standards and procedures</w:t>
      </w:r>
    </w:p>
    <w:p>
      <w:pPr>
        <w:keepNext w:val="0"/>
        <w:spacing w:before="0" w:after="120" w:line="276" w:lineRule="auto"/>
      </w:pPr>
      <w:r>
        <w:rPr>
          <w:rFonts w:ascii="Arial" w:hAnsi="Arial" w:cs="Arial" w:eastAsia="Arial"/>
          <w:b w:val="0"/>
          <w:i w:val="0"/>
          <w:sz w:val="21"/>
        </w:rPr>
        <w:t>This policy is an input to the organisation's other corporate policies, including HR, finance and IT, which refer to it. It is backed by detailed standards and procedures, based on good practice and on national and international standards. They are listed here, and in the document register.</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5184"/>
            <w:shd w:val="clear" w:color="auto" w:fill="DCE6F5"/>
          </w:tcPr>
          <w:p>
            <w:pPr>
              <w:keepNext w:val="0"/>
              <w:spacing w:before="40" w:after="40" w:line="240" w:lineRule="auto"/>
            </w:pPr>
            <w:r>
              <w:rPr>
                <w:rFonts w:ascii="Arial" w:hAnsi="Arial" w:cs="Arial" w:eastAsia="Arial"/>
                <w:b/>
                <w:i w:val="0"/>
                <w:color w:val="1B253B"/>
                <w:sz w:val="18"/>
              </w:rPr>
              <w:t>Document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5184"/>
          </w:tcPr>
          <w:p>
            <w:pPr>
              <w:keepNext w:val="0"/>
              <w:spacing w:before="40" w:after="40" w:line="240" w:lineRule="auto"/>
            </w:pPr>
            <w:r>
              <w:rPr>
                <w:rFonts w:ascii="Arial" w:hAnsi="Arial" w:cs="Arial" w:eastAsia="Arial"/>
                <w:b w:val="0"/>
                <w:i w:val="0"/>
                <w:sz w:val="18"/>
              </w:rPr>
              <w:t>Identity and access management policy (SAMA-16)</w:t>
            </w:r>
          </w:p>
        </w:tc>
        <w:tc>
          <w:tcPr>
            <w:tcW w:type="dxa" w:w="1728"/>
          </w:tcPr>
          <w:p>
            <w:pPr>
              <w:keepNext w:val="0"/>
              <w:spacing w:before="40" w:after="40" w:line="240" w:lineRule="auto"/>
            </w:pPr>
            <w:r>
              <w:rPr>
                <w:rFonts w:ascii="Arial" w:hAnsi="Arial" w:cs="Arial" w:eastAsia="Arial"/>
                <w:b w:val="0"/>
                <w:i w:val="0"/>
                <w:sz w:val="18"/>
              </w:rPr>
              <w:t>Policy</w:t>
            </w:r>
          </w:p>
        </w:tc>
        <w:tc>
          <w:tcPr>
            <w:tcW w:type="dxa" w:w="2304"/>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5184"/>
          </w:tcPr>
          <w:p>
            <w:pPr>
              <w:keepNext w:val="0"/>
              <w:spacing w:before="40" w:after="40" w:line="240" w:lineRule="auto"/>
            </w:pPr>
            <w:r>
              <w:rPr>
                <w:rFonts w:ascii="Arial" w:hAnsi="Arial" w:cs="Arial" w:eastAsia="Arial"/>
                <w:b w:val="0"/>
                <w:i w:val="0"/>
                <w:sz w:val="18"/>
              </w:rPr>
              <w:t>Application security standard (SAMA-17)</w:t>
            </w:r>
          </w:p>
        </w:tc>
        <w:tc>
          <w:tcPr>
            <w:tcW w:type="dxa" w:w="1728"/>
          </w:tcPr>
          <w:p>
            <w:pPr>
              <w:keepNext w:val="0"/>
              <w:spacing w:before="40" w:after="40" w:line="240" w:lineRule="auto"/>
            </w:pPr>
            <w:r>
              <w:rPr>
                <w:rFonts w:ascii="Arial" w:hAnsi="Arial" w:cs="Arial" w:eastAsia="Arial"/>
                <w:b w:val="0"/>
                <w:i w:val="0"/>
                <w:sz w:val="18"/>
              </w:rPr>
              <w:t>Standard</w:t>
            </w:r>
          </w:p>
        </w:tc>
        <w:tc>
          <w:tcPr>
            <w:tcW w:type="dxa" w:w="2304"/>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5184"/>
          </w:tcPr>
          <w:p>
            <w:pPr>
              <w:keepNext w:val="0"/>
              <w:spacing w:before="40" w:after="40" w:line="240" w:lineRule="auto"/>
            </w:pPr>
            <w:r>
              <w:rPr>
                <w:rFonts w:ascii="Arial" w:hAnsi="Arial" w:cs="Arial" w:eastAsia="Arial"/>
                <w:b w:val="0"/>
                <w:i w:val="0"/>
                <w:sz w:val="18"/>
              </w:rPr>
              <w:t>Infrastructure security standard (SAMA-19)</w:t>
            </w:r>
          </w:p>
        </w:tc>
        <w:tc>
          <w:tcPr>
            <w:tcW w:type="dxa" w:w="1728"/>
          </w:tcPr>
          <w:p>
            <w:pPr>
              <w:keepNext w:val="0"/>
              <w:spacing w:before="40" w:after="40" w:line="240" w:lineRule="auto"/>
            </w:pPr>
            <w:r>
              <w:rPr>
                <w:rFonts w:ascii="Arial" w:hAnsi="Arial" w:cs="Arial" w:eastAsia="Arial"/>
                <w:b w:val="0"/>
                <w:i w:val="0"/>
                <w:sz w:val="18"/>
              </w:rPr>
              <w:t>Standard</w:t>
            </w:r>
          </w:p>
        </w:tc>
        <w:tc>
          <w:tcPr>
            <w:tcW w:type="dxa" w:w="2304"/>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5184"/>
          </w:tcPr>
          <w:p>
            <w:pPr>
              <w:keepNext w:val="0"/>
              <w:spacing w:before="40" w:after="40" w:line="240" w:lineRule="auto"/>
            </w:pPr>
            <w:r>
              <w:rPr>
                <w:rFonts w:ascii="Arial" w:hAnsi="Arial" w:cs="Arial" w:eastAsia="Arial"/>
                <w:b w:val="0"/>
                <w:i w:val="0"/>
                <w:sz w:val="18"/>
              </w:rPr>
              <w:t>Cryptography standard (SAMA-20)</w:t>
            </w:r>
          </w:p>
        </w:tc>
        <w:tc>
          <w:tcPr>
            <w:tcW w:type="dxa" w:w="1728"/>
          </w:tcPr>
          <w:p>
            <w:pPr>
              <w:keepNext w:val="0"/>
              <w:spacing w:before="40" w:after="40" w:line="240" w:lineRule="auto"/>
            </w:pPr>
            <w:r>
              <w:rPr>
                <w:rFonts w:ascii="Arial" w:hAnsi="Arial" w:cs="Arial" w:eastAsia="Arial"/>
                <w:b w:val="0"/>
                <w:i w:val="0"/>
                <w:sz w:val="18"/>
              </w:rPr>
              <w:t>Standard</w:t>
            </w:r>
          </w:p>
        </w:tc>
        <w:tc>
          <w:tcPr>
            <w:tcW w:type="dxa" w:w="2304"/>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5184"/>
          </w:tcPr>
          <w:p>
            <w:pPr>
              <w:keepNext w:val="0"/>
              <w:spacing w:before="40" w:after="40" w:line="240" w:lineRule="auto"/>
            </w:pPr>
            <w:r>
              <w:rPr>
                <w:rFonts w:ascii="Arial" w:hAnsi="Arial" w:cs="Arial" w:eastAsia="Arial"/>
                <w:b w:val="0"/>
                <w:i w:val="0"/>
                <w:sz w:val="18"/>
              </w:rPr>
              <w:t>Incident management process (SAMA-26)</w:t>
            </w:r>
          </w:p>
        </w:tc>
        <w:tc>
          <w:tcPr>
            <w:tcW w:type="dxa" w:w="1728"/>
          </w:tcPr>
          <w:p>
            <w:pPr>
              <w:keepNext w:val="0"/>
              <w:spacing w:before="40" w:after="40" w:line="240" w:lineRule="auto"/>
            </w:pPr>
            <w:r>
              <w:rPr>
                <w:rFonts w:ascii="Arial" w:hAnsi="Arial" w:cs="Arial" w:eastAsia="Arial"/>
                <w:b w:val="0"/>
                <w:i w:val="0"/>
                <w:sz w:val="18"/>
              </w:rPr>
              <w:t>Procedure</w:t>
            </w:r>
          </w:p>
        </w:tc>
        <w:tc>
          <w:tcPr>
            <w:tcW w:type="dxa" w:w="2304"/>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5184"/>
          </w:tcPr>
          <w:p>
            <w:pPr>
              <w:keepNext w:val="0"/>
              <w:spacing w:before="40" w:after="40" w:line="240" w:lineRule="auto"/>
            </w:pPr>
            <w:sdt>
              <w:sdtPr>
                <w:alias w:val="Another document"/>
                <w:tag w:val="03.t4.r5.c0"/>
              </w:sdtPr>
              <w:sdtContent>
                <w:r>
                  <w:rPr>
                    <w:rFonts w:ascii="Arial" w:hAnsi="Arial" w:cs="Arial" w:eastAsia="Arial"/>
                    <w:b w:val="0"/>
                    <w:i w:val="0"/>
                    <w:sz w:val="18"/>
                    <w:highlight w:val="yellow"/>
                  </w:rPr>
                  <w:t>&lt;Another document&gt;</w:t>
                </w:r>
              </w:sdtContent>
            </w:sdt>
          </w:p>
        </w:tc>
        <w:tc>
          <w:tcPr>
            <w:tcW w:type="dxa" w:w="1728"/>
          </w:tcPr>
          <w:p>
            <w:pPr>
              <w:keepNext w:val="0"/>
              <w:spacing w:before="40" w:after="40" w:line="240" w:lineRule="auto"/>
            </w:pPr>
            <w:sdt>
              <w:sdtPr>
                <w:alias w:val="Type"/>
                <w:tag w:val="03.t4.r5.c1"/>
              </w:sdtPr>
              <w:sdtContent>
                <w:r>
                  <w:rPr>
                    <w:rFonts w:ascii="Arial" w:hAnsi="Arial" w:cs="Arial" w:eastAsia="Arial"/>
                    <w:b w:val="0"/>
                    <w:i w:val="0"/>
                    <w:sz w:val="18"/>
                    <w:highlight w:val="yellow"/>
                  </w:rPr>
                  <w:t>&lt;Type&gt;</w:t>
                </w:r>
              </w:sdtContent>
            </w:sdt>
          </w:p>
        </w:tc>
        <w:tc>
          <w:tcPr>
            <w:tcW w:type="dxa" w:w="2304"/>
          </w:tcPr>
          <w:p>
            <w:pPr>
              <w:keepNext w:val="0"/>
              <w:spacing w:before="40" w:after="40" w:line="240" w:lineRule="auto"/>
            </w:pPr>
            <w:sdt>
              <w:sdtPr>
                <w:alias w:val="Owner"/>
                <w:tag w:val="03.t4.r5.c2"/>
              </w:sdtPr>
              <w:sdtContent>
                <w:r>
                  <w:rPr>
                    <w:rFonts w:ascii="Arial" w:hAnsi="Arial" w:cs="Arial" w:eastAsia="Arial"/>
                    <w:b w:val="0"/>
                    <w:i w:val="0"/>
                    <w:sz w:val="18"/>
                    <w:highlight w:val="yellow"/>
                  </w:rPr>
                  <w:t>&lt;Owner&gt;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Communication</w:t>
      </w:r>
    </w:p>
    <w:p>
      <w:pPr>
        <w:keepNext w:val="0"/>
        <w:spacing w:before="0" w:after="120" w:line="276" w:lineRule="auto"/>
      </w:pPr>
      <w:r>
        <w:rPr>
          <w:rFonts w:ascii="Arial" w:hAnsi="Arial" w:cs="Arial" w:eastAsia="Arial"/>
          <w:b w:val="0"/>
          <w:i w:val="0"/>
          <w:sz w:val="21"/>
        </w:rPr>
        <w:t xml:space="preserve">The policy is published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 sent to every new starter, and acknowledged by staff at joining and after every material change. Third parties receive the parts that apply to them.</w:t>
      </w:r>
    </w:p>
    <w:p>
      <w:pPr>
        <w:keepNext/>
        <w:spacing w:before="280" w:after="120" w:line="264" w:lineRule="auto"/>
      </w:pPr>
      <w:r>
        <w:rPr>
          <w:rFonts w:ascii="Arial" w:hAnsi="Arial" w:cs="Arial" w:eastAsia="Arial"/>
          <w:b/>
          <w:i w:val="0"/>
          <w:color w:val="1B253B"/>
          <w:sz w:val="28"/>
        </w:rPr>
        <w:t>10. Exceptions and breaches</w:t>
      </w:r>
    </w:p>
    <w:p>
      <w:pPr>
        <w:pStyle w:val="ListBullet"/>
        <w:keepNext w:val="0"/>
        <w:spacing w:before="0" w:after="60" w:line="276" w:lineRule="auto"/>
        <w:ind w:left="432" w:hanging="288"/>
      </w:pPr>
      <w:r>
        <w:rPr>
          <w:rFonts w:ascii="Arial" w:hAnsi="Arial" w:cs="Arial" w:eastAsia="Arial"/>
          <w:b w:val="0"/>
          <w:i w:val="0"/>
          <w:sz w:val="21"/>
        </w:rPr>
        <w:t xml:space="preserve">An exception must be requested in writing, assessed for risk, approved by </w:t>
      </w:r>
      <w:sdt>
        <w:sdtPr>
          <w:alias w:val="the CISO"/>
          <w:tag w:val="03.exceptions"/>
        </w:sdtPr>
        <w:sdtContent>
          <w:r>
            <w:rPr>
              <w:rFonts w:ascii="Arial" w:hAnsi="Arial" w:cs="Arial" w:eastAsia="Arial"/>
              <w:b w:val="0"/>
              <w:i w:val="0"/>
              <w:sz w:val="21"/>
              <w:highlight w:val="yellow"/>
            </w:rPr>
            <w:t>&lt;the CISO&gt;</w:t>
          </w:r>
        </w:sdtContent>
      </w:sdt>
      <w:r>
        <w:rPr>
          <w:rFonts w:ascii="Arial" w:hAnsi="Arial" w:cs="Arial" w:eastAsia="Arial"/>
          <w:b w:val="0"/>
          <w:i w:val="0"/>
          <w:sz w:val="21"/>
        </w:rPr>
        <w:t xml:space="preserve"> and recorded with an end date.</w:t>
      </w:r>
    </w:p>
    <w:p>
      <w:pPr>
        <w:pStyle w:val="ListBullet"/>
        <w:keepNext w:val="0"/>
        <w:spacing w:before="0" w:after="60" w:line="276" w:lineRule="auto"/>
        <w:ind w:left="432" w:hanging="288"/>
      </w:pPr>
      <w:r>
        <w:rPr>
          <w:rFonts w:ascii="Arial" w:hAnsi="Arial" w:cs="Arial" w:eastAsia="Arial"/>
          <w:b w:val="0"/>
          <w:i w:val="0"/>
          <w:sz w:val="21"/>
        </w:rPr>
        <w:t>A breach of this policy may lead to disciplinary action, and where the law is broken, to legal action.</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11. The review process</w:t>
      </w:r>
    </w:p>
    <w:p>
      <w:pPr>
        <w:keepNext w:val="0"/>
        <w:spacing w:before="0" w:after="120" w:line="276" w:lineRule="auto"/>
      </w:pPr>
      <w:r>
        <w:rPr>
          <w:rFonts w:ascii="Arial" w:hAnsi="Arial" w:cs="Arial" w:eastAsia="Arial"/>
          <w:b w:val="0"/>
          <w:i w:val="0"/>
          <w:sz w:val="21"/>
        </w:rPr>
        <w:t xml:space="preserve">This policy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xml:space="preserve"> by the CISO, using the steps below. The committee approves each version and the board endorses it.</w:t>
      </w:r>
    </w:p>
    <w:p>
      <w:pPr>
        <w:keepNext w:val="0"/>
        <w:spacing w:before="0" w:after="60" w:line="276" w:lineRule="auto"/>
        <w:ind w:left="504" w:hanging="403"/>
      </w:pPr>
      <w:r>
        <w:rPr>
          <w:rFonts w:ascii="Arial" w:hAnsi="Arial" w:cs="Arial" w:eastAsia="Arial"/>
          <w:b w:val="0"/>
          <w:i w:val="0"/>
          <w:sz w:val="21"/>
        </w:rPr>
        <w:t>1.  The CISO gathers changes in the law, in risks and incidents, in audit findings and in the organisation.</w:t>
      </w:r>
    </w:p>
    <w:p>
      <w:pPr>
        <w:keepNext w:val="0"/>
        <w:spacing w:before="0" w:after="60" w:line="276" w:lineRule="auto"/>
        <w:ind w:left="504" w:hanging="403"/>
      </w:pPr>
      <w:r>
        <w:rPr>
          <w:rFonts w:ascii="Arial" w:hAnsi="Arial" w:cs="Arial" w:eastAsia="Arial"/>
          <w:b w:val="0"/>
          <w:i w:val="0"/>
          <w:sz w:val="21"/>
        </w:rPr>
        <w:t>2.  The CISO updates the policy and the list of supporting documents.</w:t>
      </w:r>
    </w:p>
    <w:p>
      <w:pPr>
        <w:keepNext w:val="0"/>
        <w:spacing w:before="0" w:after="60" w:line="276" w:lineRule="auto"/>
        <w:ind w:left="504" w:hanging="403"/>
      </w:pPr>
      <w:r>
        <w:rPr>
          <w:rFonts w:ascii="Arial" w:hAnsi="Arial" w:cs="Arial" w:eastAsia="Arial"/>
          <w:b w:val="0"/>
          <w:i w:val="0"/>
          <w:sz w:val="21"/>
        </w:rPr>
        <w:t>3.  The committee approves the new version, and the board endorses it.</w:t>
      </w:r>
    </w:p>
    <w:p>
      <w:pPr>
        <w:keepNext w:val="0"/>
        <w:spacing w:before="0" w:after="60" w:line="276" w:lineRule="auto"/>
        <w:ind w:left="504" w:hanging="403"/>
      </w:pPr>
      <w:r>
        <w:rPr>
          <w:rFonts w:ascii="Arial" w:hAnsi="Arial" w:cs="Arial" w:eastAsia="Arial"/>
          <w:b w:val="0"/>
          <w:i w:val="0"/>
          <w:sz w:val="21"/>
        </w:rPr>
        <w:t>4.  The new version is published and communicated, and the old one is archived.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12.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3.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Staff who have acknowledged the policy</w:t>
            </w:r>
          </w:p>
        </w:tc>
        <w:tc>
          <w:tcPr>
            <w:tcW w:type="dxa" w:w="2592"/>
          </w:tcPr>
          <w:p>
            <w:pPr>
              <w:keepNext w:val="0"/>
              <w:spacing w:before="40" w:after="40" w:line="240" w:lineRule="auto"/>
            </w:pPr>
            <w:sdt>
              <w:sdtPr>
                <w:alias w:val="100%"/>
                <w:tag w:val="03.t5.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Review done on time</w:t>
            </w:r>
          </w:p>
        </w:tc>
        <w:tc>
          <w:tcPr>
            <w:tcW w:type="dxa" w:w="2592"/>
          </w:tcPr>
          <w:p>
            <w:pPr>
              <w:keepNext w:val="0"/>
              <w:spacing w:before="40" w:after="40" w:line="240" w:lineRule="auto"/>
            </w:pPr>
            <w:r>
              <w:rPr>
                <w:rFonts w:ascii="Arial" w:hAnsi="Arial" w:cs="Arial" w:eastAsia="Arial"/>
                <w:b w:val="0"/>
                <w:i w:val="0"/>
                <w:sz w:val="18"/>
              </w:rPr>
              <w:t>Yes</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13.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14.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endorsed by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as the framework requires. It is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15.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3.1.3.1</w:t>
            </w:r>
          </w:p>
        </w:tc>
        <w:tc>
          <w:tcPr>
            <w:tcW w:type="dxa" w:w="7920"/>
          </w:tcPr>
          <w:p>
            <w:pPr>
              <w:keepNext w:val="0"/>
              <w:spacing w:before="40" w:after="40" w:line="240" w:lineRule="auto"/>
            </w:pPr>
            <w:r>
              <w:rPr>
                <w:rFonts w:ascii="Arial" w:hAnsi="Arial" w:cs="Arial" w:eastAsia="Arial"/>
                <w:b w:val="0"/>
                <w:i w:val="0"/>
                <w:sz w:val="18"/>
              </w:rPr>
              <w:t>Policy defined, approved and communicated</w:t>
            </w:r>
          </w:p>
        </w:tc>
      </w:tr>
      <w:tr>
        <w:trPr>
          <w:cantSplit w:val="true"/>
        </w:trPr>
        <w:tc>
          <w:tcPr>
            <w:tcW w:type="dxa" w:w="1296"/>
          </w:tcPr>
          <w:p>
            <w:pPr>
              <w:keepNext w:val="0"/>
              <w:spacing w:before="40" w:after="40" w:line="240" w:lineRule="auto"/>
            </w:pPr>
            <w:r>
              <w:rPr>
                <w:rFonts w:ascii="Arial" w:hAnsi="Arial" w:cs="Arial" w:eastAsia="Arial"/>
                <w:b w:val="0"/>
                <w:i w:val="0"/>
                <w:sz w:val="18"/>
              </w:rPr>
              <w:t>3.1.3.2</w:t>
            </w:r>
          </w:p>
        </w:tc>
        <w:tc>
          <w:tcPr>
            <w:tcW w:type="dxa" w:w="7920"/>
          </w:tcPr>
          <w:p>
            <w:pPr>
              <w:keepNext w:val="0"/>
              <w:spacing w:before="40" w:after="40" w:line="240" w:lineRule="auto"/>
            </w:pPr>
            <w:r>
              <w:rPr>
                <w:rFonts w:ascii="Arial" w:hAnsi="Arial" w:cs="Arial" w:eastAsia="Arial"/>
                <w:b w:val="0"/>
                <w:i w:val="0"/>
                <w:sz w:val="18"/>
              </w:rPr>
              <w:t>Reviewed on a set schedule</w:t>
            </w:r>
          </w:p>
        </w:tc>
      </w:tr>
      <w:tr>
        <w:trPr>
          <w:cantSplit w:val="true"/>
        </w:trPr>
        <w:tc>
          <w:tcPr>
            <w:tcW w:type="dxa" w:w="1296"/>
          </w:tcPr>
          <w:p>
            <w:pPr>
              <w:keepNext w:val="0"/>
              <w:spacing w:before="40" w:after="40" w:line="240" w:lineRule="auto"/>
            </w:pPr>
            <w:r>
              <w:rPr>
                <w:rFonts w:ascii="Arial" w:hAnsi="Arial" w:cs="Arial" w:eastAsia="Arial"/>
                <w:b w:val="0"/>
                <w:i w:val="0"/>
                <w:sz w:val="18"/>
              </w:rPr>
              <w:t>3.1.3.3</w:t>
            </w:r>
          </w:p>
        </w:tc>
        <w:tc>
          <w:tcPr>
            <w:tcW w:type="dxa" w:w="7920"/>
          </w:tcPr>
          <w:p>
            <w:pPr>
              <w:keepNext w:val="0"/>
              <w:spacing w:before="40" w:after="40" w:line="240" w:lineRule="auto"/>
            </w:pPr>
            <w:r>
              <w:rPr>
                <w:rFonts w:ascii="Arial" w:hAnsi="Arial" w:cs="Arial" w:eastAsia="Arial"/>
                <w:b w:val="0"/>
                <w:i w:val="0"/>
                <w:sz w:val="18"/>
              </w:rPr>
              <w:t>An input to other corporate policies; backed by standards and procedures</w:t>
            </w:r>
          </w:p>
        </w:tc>
      </w:tr>
      <w:tr>
        <w:trPr>
          <w:cantSplit w:val="true"/>
        </w:trPr>
        <w:tc>
          <w:tcPr>
            <w:tcW w:type="dxa" w:w="1296"/>
          </w:tcPr>
          <w:p>
            <w:pPr>
              <w:keepNext w:val="0"/>
              <w:spacing w:before="40" w:after="40" w:line="240" w:lineRule="auto"/>
            </w:pPr>
            <w:r>
              <w:rPr>
                <w:rFonts w:ascii="Arial" w:hAnsi="Arial" w:cs="Arial" w:eastAsia="Arial"/>
                <w:b w:val="0"/>
                <w:i w:val="0"/>
                <w:sz w:val="18"/>
              </w:rPr>
              <w:t>3.1.3.4</w:t>
            </w:r>
          </w:p>
        </w:tc>
        <w:tc>
          <w:tcPr>
            <w:tcW w:type="dxa" w:w="7920"/>
          </w:tcPr>
          <w:p>
            <w:pPr>
              <w:keepNext w:val="0"/>
              <w:spacing w:before="40" w:after="40" w:line="240" w:lineRule="auto"/>
            </w:pPr>
            <w:r>
              <w:rPr>
                <w:rFonts w:ascii="Arial" w:hAnsi="Arial" w:cs="Arial" w:eastAsia="Arial"/>
                <w:b w:val="0"/>
                <w:i w:val="0"/>
                <w:sz w:val="18"/>
              </w:rPr>
              <w:t>Contains the definition, objectives, scope, board intent, responsibilities and the required principles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Policy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Policy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