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Roles and Responsibilities</w:t>
      </w:r>
    </w:p>
    <w:p>
      <w:pPr>
        <w:keepNext w:val="0"/>
        <w:spacing w:before="0" w:after="200" w:line="240" w:lineRule="auto"/>
      </w:pPr>
      <w:r>
        <w:rPr>
          <w:rFonts w:ascii="Arial" w:hAnsi="Arial" w:cs="Arial" w:eastAsia="Arial"/>
          <w:b w:val="0"/>
          <w:i w:val="0"/>
          <w:color w:val="5B6678"/>
          <w:sz w:val="21"/>
        </w:rPr>
        <w:t>Who is responsible for what in cyber security, how the CISO is appointed, and what goes into job descriptions.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SAMA-04</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says who is responsible for what in cyber security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from the board to every member of staff. It also sets out how the CISO is appointed and what must be written into job descriptions.</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It applies to every role that has a part in cyber security.</w:t>
      </w:r>
    </w:p>
    <w:p>
      <w:pPr>
        <w:keepNext/>
        <w:spacing w:before="280" w:after="120" w:line="264" w:lineRule="auto"/>
      </w:pPr>
      <w:r>
        <w:rPr>
          <w:rFonts w:ascii="Arial" w:hAnsi="Arial" w:cs="Arial" w:eastAsia="Arial"/>
          <w:b/>
          <w:i w:val="0"/>
          <w:color w:val="1B253B"/>
          <w:sz w:val="28"/>
        </w:rPr>
        <w:t>3. Responsibilities</w:t>
      </w:r>
    </w:p>
    <w:p>
      <w:pPr>
        <w:keepNext/>
        <w:spacing w:before="160" w:after="80" w:line="264" w:lineRule="auto"/>
      </w:pPr>
      <w:r>
        <w:rPr>
          <w:rFonts w:ascii="Arial" w:hAnsi="Arial" w:cs="Arial" w:eastAsia="Arial"/>
          <w:b/>
          <w:i w:val="0"/>
          <w:color w:val="1B253B"/>
          <w:sz w:val="23"/>
        </w:rPr>
        <w:t>The board</w:t>
      </w:r>
    </w:p>
    <w:p>
      <w:pPr>
        <w:pStyle w:val="ListBullet"/>
        <w:keepNext w:val="0"/>
        <w:spacing w:before="0" w:after="60" w:line="276" w:lineRule="auto"/>
        <w:ind w:left="432" w:hanging="288"/>
      </w:pPr>
      <w:r>
        <w:rPr>
          <w:rFonts w:ascii="Arial" w:hAnsi="Arial" w:cs="Arial" w:eastAsia="Arial"/>
          <w:b w:val="0"/>
          <w:i w:val="0"/>
          <w:sz w:val="21"/>
        </w:rPr>
        <w:t>Holds ultimate responsibility for cyber security.</w:t>
      </w:r>
    </w:p>
    <w:p>
      <w:pPr>
        <w:pStyle w:val="ListBullet"/>
        <w:keepNext w:val="0"/>
        <w:spacing w:before="0" w:after="60" w:line="276" w:lineRule="auto"/>
        <w:ind w:left="432" w:hanging="288"/>
      </w:pPr>
      <w:r>
        <w:rPr>
          <w:rFonts w:ascii="Arial" w:hAnsi="Arial" w:cs="Arial" w:eastAsia="Arial"/>
          <w:b w:val="0"/>
          <w:i w:val="0"/>
          <w:sz w:val="21"/>
        </w:rPr>
        <w:t>Makes sure there is enough budget.</w:t>
      </w:r>
    </w:p>
    <w:p>
      <w:pPr>
        <w:pStyle w:val="ListBullet"/>
        <w:keepNext w:val="0"/>
        <w:spacing w:before="0" w:after="60" w:line="276" w:lineRule="auto"/>
        <w:ind w:left="432" w:hanging="288"/>
      </w:pPr>
      <w:r>
        <w:rPr>
          <w:rFonts w:ascii="Arial" w:hAnsi="Arial" w:cs="Arial" w:eastAsia="Arial"/>
          <w:b w:val="0"/>
          <w:i w:val="0"/>
          <w:sz w:val="21"/>
        </w:rPr>
        <w:t>Approves the committee charter.</w:t>
      </w:r>
    </w:p>
    <w:p>
      <w:pPr>
        <w:pStyle w:val="ListBullet"/>
        <w:keepNext w:val="0"/>
        <w:spacing w:before="0" w:after="60" w:line="276" w:lineRule="auto"/>
        <w:ind w:left="432" w:hanging="288"/>
      </w:pPr>
      <w:r>
        <w:rPr>
          <w:rFonts w:ascii="Arial" w:hAnsi="Arial" w:cs="Arial" w:eastAsia="Arial"/>
          <w:b w:val="0"/>
          <w:i w:val="0"/>
          <w:sz w:val="21"/>
        </w:rPr>
        <w:t>Endorses the cyber security governance, strategy and policy after the committee has approved them.</w:t>
      </w:r>
    </w:p>
    <w:p>
      <w:pPr>
        <w:keepNext w:val="0"/>
        <w:spacing w:before="0" w:after="40" w:line="240" w:lineRule="auto"/>
      </w:pPr>
    </w:p>
    <w:p>
      <w:pPr>
        <w:keepNext/>
        <w:spacing w:before="160" w:after="80" w:line="264" w:lineRule="auto"/>
      </w:pPr>
      <w:r>
        <w:rPr>
          <w:rFonts w:ascii="Arial" w:hAnsi="Arial" w:cs="Arial" w:eastAsia="Arial"/>
          <w:b/>
          <w:i w:val="0"/>
          <w:color w:val="1B253B"/>
          <w:sz w:val="23"/>
        </w:rPr>
        <w:t>The cyber security committee</w:t>
      </w:r>
    </w:p>
    <w:p>
      <w:pPr>
        <w:pStyle w:val="ListBullet"/>
        <w:keepNext w:val="0"/>
        <w:spacing w:before="0" w:after="60" w:line="276" w:lineRule="auto"/>
        <w:ind w:left="432" w:hanging="288"/>
      </w:pPr>
      <w:r>
        <w:rPr>
          <w:rFonts w:ascii="Arial" w:hAnsi="Arial" w:cs="Arial" w:eastAsia="Arial"/>
          <w:b w:val="0"/>
          <w:i w:val="0"/>
          <w:sz w:val="21"/>
        </w:rPr>
        <w:t>Monitors, reviews and communicates the risk appetite, periodically and when it changes materially.</w:t>
      </w:r>
    </w:p>
    <w:p>
      <w:pPr>
        <w:pStyle w:val="ListBullet"/>
        <w:keepNext w:val="0"/>
        <w:spacing w:before="0" w:after="60" w:line="276" w:lineRule="auto"/>
        <w:ind w:left="432" w:hanging="288"/>
      </w:pPr>
      <w:r>
        <w:rPr>
          <w:rFonts w:ascii="Arial" w:hAnsi="Arial" w:cs="Arial" w:eastAsia="Arial"/>
          <w:b w:val="0"/>
          <w:i w:val="0"/>
          <w:sz w:val="21"/>
        </w:rPr>
        <w:t>Checks that the strategy supports the organisation's objectives.</w:t>
      </w:r>
    </w:p>
    <w:p>
      <w:pPr>
        <w:pStyle w:val="ListBullet"/>
        <w:keepNext w:val="0"/>
        <w:spacing w:before="0" w:after="60" w:line="276" w:lineRule="auto"/>
        <w:ind w:left="432" w:hanging="288"/>
      </w:pPr>
      <w:r>
        <w:rPr>
          <w:rFonts w:ascii="Arial" w:hAnsi="Arial" w:cs="Arial" w:eastAsia="Arial"/>
          <w:b w:val="0"/>
          <w:i w:val="0"/>
          <w:sz w:val="21"/>
        </w:rPr>
        <w:t>Approves, communicates, supports and monitors the governance, strategy and policy.</w:t>
      </w:r>
    </w:p>
    <w:p>
      <w:pPr>
        <w:pStyle w:val="ListBullet"/>
        <w:keepNext w:val="0"/>
        <w:spacing w:before="0" w:after="60" w:line="276" w:lineRule="auto"/>
        <w:ind w:left="432" w:hanging="288"/>
      </w:pPr>
      <w:r>
        <w:rPr>
          <w:rFonts w:ascii="Arial" w:hAnsi="Arial" w:cs="Arial" w:eastAsia="Arial"/>
          <w:b w:val="0"/>
          <w:i w:val="0"/>
          <w:sz w:val="21"/>
        </w:rPr>
        <w:t>Approves, supports and monitors the security programmes: awareness, data classification, data privacy and data leakage prevention.</w:t>
      </w:r>
    </w:p>
    <w:p>
      <w:pPr>
        <w:pStyle w:val="ListBullet"/>
        <w:keepNext w:val="0"/>
        <w:spacing w:before="0" w:after="60" w:line="276" w:lineRule="auto"/>
        <w:ind w:left="432" w:hanging="288"/>
      </w:pPr>
      <w:r>
        <w:rPr>
          <w:rFonts w:ascii="Arial" w:hAnsi="Arial" w:cs="Arial" w:eastAsia="Arial"/>
          <w:b w:val="0"/>
          <w:i w:val="0"/>
          <w:sz w:val="21"/>
        </w:rPr>
        <w:t>Approves the risk management process and monitors the key risk and performance indicators.</w:t>
      </w:r>
    </w:p>
    <w:p>
      <w:pPr>
        <w:keepNext w:val="0"/>
        <w:spacing w:before="0" w:after="40" w:line="240" w:lineRule="auto"/>
      </w:pPr>
    </w:p>
    <w:p>
      <w:pPr>
        <w:keepNext/>
        <w:spacing w:before="160" w:after="80" w:line="264" w:lineRule="auto"/>
      </w:pPr>
      <w:r>
        <w:rPr>
          <w:rFonts w:ascii="Arial" w:hAnsi="Arial" w:cs="Arial" w:eastAsia="Arial"/>
          <w:b/>
          <w:i w:val="0"/>
          <w:color w:val="1B253B"/>
          <w:sz w:val="23"/>
        </w:rPr>
        <w:t>Senior management</w:t>
      </w:r>
    </w:p>
    <w:p>
      <w:pPr>
        <w:pStyle w:val="ListBullet"/>
        <w:keepNext w:val="0"/>
        <w:spacing w:before="0" w:after="60" w:line="276" w:lineRule="auto"/>
        <w:ind w:left="432" w:hanging="288"/>
      </w:pPr>
      <w:r>
        <w:rPr>
          <w:rFonts w:ascii="Arial" w:hAnsi="Arial" w:cs="Arial" w:eastAsia="Arial"/>
          <w:b w:val="0"/>
          <w:i w:val="0"/>
          <w:sz w:val="21"/>
        </w:rPr>
        <w:t>Makes sure standards, processes and procedures reflect security requirements.</w:t>
      </w:r>
    </w:p>
    <w:p>
      <w:pPr>
        <w:pStyle w:val="ListBullet"/>
        <w:keepNext w:val="0"/>
        <w:spacing w:before="0" w:after="60" w:line="276" w:lineRule="auto"/>
        <w:ind w:left="432" w:hanging="288"/>
      </w:pPr>
      <w:r>
        <w:rPr>
          <w:rFonts w:ascii="Arial" w:hAnsi="Arial" w:cs="Arial" w:eastAsia="Arial"/>
          <w:b w:val="0"/>
          <w:i w:val="0"/>
          <w:sz w:val="21"/>
        </w:rPr>
        <w:t>Makes sure people accept and follow the policy, standards and procedures when they are issued or updated.</w:t>
      </w:r>
    </w:p>
    <w:p>
      <w:pPr>
        <w:pStyle w:val="ListBullet"/>
        <w:keepNext w:val="0"/>
        <w:spacing w:before="0" w:after="60" w:line="276" w:lineRule="auto"/>
        <w:ind w:left="432" w:hanging="288"/>
      </w:pPr>
      <w:r>
        <w:rPr>
          <w:rFonts w:ascii="Arial" w:hAnsi="Arial" w:cs="Arial" w:eastAsia="Arial"/>
          <w:b w:val="0"/>
          <w:i w:val="0"/>
          <w:sz w:val="21"/>
        </w:rPr>
        <w:t>Makes sure security responsibilities are written into the job descriptions of key positions and of cyber security staff.</w:t>
      </w:r>
    </w:p>
    <w:p>
      <w:pPr>
        <w:keepNext w:val="0"/>
        <w:spacing w:before="0" w:after="40" w:line="240" w:lineRule="auto"/>
      </w:pPr>
    </w:p>
    <w:p>
      <w:pPr>
        <w:keepNext/>
        <w:spacing w:before="160" w:after="80" w:line="264" w:lineRule="auto"/>
      </w:pPr>
      <w:r>
        <w:rPr>
          <w:rFonts w:ascii="Arial" w:hAnsi="Arial" w:cs="Arial" w:eastAsia="Arial"/>
          <w:b/>
          <w:i w:val="0"/>
          <w:color w:val="1B253B"/>
          <w:sz w:val="23"/>
        </w:rPr>
        <w:t>The CISO</w:t>
      </w:r>
    </w:p>
    <w:p>
      <w:pPr>
        <w:pStyle w:val="ListBullet"/>
        <w:keepNext w:val="0"/>
        <w:spacing w:before="0" w:after="60" w:line="276" w:lineRule="auto"/>
        <w:ind w:left="432" w:hanging="288"/>
      </w:pPr>
      <w:r>
        <w:rPr>
          <w:rFonts w:ascii="Arial" w:hAnsi="Arial" w:cs="Arial" w:eastAsia="Arial"/>
          <w:b w:val="0"/>
          <w:i w:val="0"/>
          <w:sz w:val="21"/>
        </w:rPr>
        <w:t>Develops and maintains the strategy, policy, architecture and risk management process.</w:t>
      </w:r>
    </w:p>
    <w:p>
      <w:pPr>
        <w:pStyle w:val="ListBullet"/>
        <w:keepNext w:val="0"/>
        <w:spacing w:before="0" w:after="60" w:line="276" w:lineRule="auto"/>
        <w:ind w:left="432" w:hanging="288"/>
      </w:pPr>
      <w:r>
        <w:rPr>
          <w:rFonts w:ascii="Arial" w:hAnsi="Arial" w:cs="Arial" w:eastAsia="Arial"/>
          <w:b w:val="0"/>
          <w:i w:val="0"/>
          <w:sz w:val="21"/>
        </w:rPr>
        <w:t>Makes sure detailed standards and procedures exist and are used.</w:t>
      </w:r>
    </w:p>
    <w:p>
      <w:pPr>
        <w:pStyle w:val="ListBullet"/>
        <w:keepNext w:val="0"/>
        <w:spacing w:before="0" w:after="60" w:line="276" w:lineRule="auto"/>
        <w:ind w:left="432" w:hanging="288"/>
      </w:pPr>
      <w:r>
        <w:rPr>
          <w:rFonts w:ascii="Arial" w:hAnsi="Arial" w:cs="Arial" w:eastAsia="Arial"/>
          <w:b w:val="0"/>
          <w:i w:val="0"/>
          <w:sz w:val="21"/>
        </w:rPr>
        <w:t>Delivers risk-based solutions covering people, process and technology, and develops the security team.</w:t>
      </w:r>
    </w:p>
    <w:p>
      <w:pPr>
        <w:pStyle w:val="ListBullet"/>
        <w:keepNext w:val="0"/>
        <w:spacing w:before="0" w:after="60" w:line="276" w:lineRule="auto"/>
        <w:ind w:left="432" w:hanging="288"/>
      </w:pPr>
      <w:r>
        <w:rPr>
          <w:rFonts w:ascii="Arial" w:hAnsi="Arial" w:cs="Arial" w:eastAsia="Arial"/>
          <w:b w:val="0"/>
          <w:i w:val="0"/>
          <w:sz w:val="21"/>
        </w:rPr>
        <w:t>Oversees security activities across the organisation: security monitoring (the SOC), compliance monitoring, incident investigation, threat intelligence and security reviews.</w:t>
      </w:r>
    </w:p>
    <w:p>
      <w:pPr>
        <w:pStyle w:val="ListBullet"/>
        <w:keepNext w:val="0"/>
        <w:spacing w:before="0" w:after="60" w:line="276" w:lineRule="auto"/>
        <w:ind w:left="432" w:hanging="288"/>
      </w:pPr>
      <w:r>
        <w:rPr>
          <w:rFonts w:ascii="Arial" w:hAnsi="Arial" w:cs="Arial" w:eastAsia="Arial"/>
          <w:b w:val="0"/>
          <w:i w:val="0"/>
          <w:sz w:val="21"/>
        </w:rPr>
        <w:t>Makes sure threat intelligence is gathered and analysed from internal and external sources (SAMA-27).</w:t>
      </w:r>
    </w:p>
    <w:p>
      <w:pPr>
        <w:pStyle w:val="ListBullet"/>
        <w:keepNext w:val="0"/>
        <w:spacing w:before="0" w:after="60" w:line="276" w:lineRule="auto"/>
        <w:ind w:left="432" w:hanging="288"/>
      </w:pPr>
      <w:r>
        <w:rPr>
          <w:rFonts w:ascii="Arial" w:hAnsi="Arial" w:cs="Arial" w:eastAsia="Arial"/>
          <w:b w:val="0"/>
          <w:i w:val="0"/>
          <w:sz w:val="21"/>
        </w:rPr>
        <w:t>Carries out risk assessments of information assets, and supports other functions with classification, project requirements and reviews.</w:t>
      </w:r>
    </w:p>
    <w:p>
      <w:pPr>
        <w:pStyle w:val="ListBullet"/>
        <w:keepNext w:val="0"/>
        <w:spacing w:before="0" w:after="60" w:line="276" w:lineRule="auto"/>
        <w:ind w:left="432" w:hanging="288"/>
      </w:pPr>
      <w:r>
        <w:rPr>
          <w:rFonts w:ascii="Arial" w:hAnsi="Arial" w:cs="Arial" w:eastAsia="Arial"/>
          <w:b w:val="0"/>
          <w:i w:val="0"/>
          <w:sz w:val="21"/>
        </w:rPr>
        <w:t>Runs the awareness programmes, and measures and reports the key risk and performance indicators.</w:t>
      </w:r>
    </w:p>
    <w:p>
      <w:pPr>
        <w:keepNext w:val="0"/>
        <w:spacing w:before="0" w:after="40" w:line="240" w:lineRule="auto"/>
      </w:pPr>
    </w:p>
    <w:p>
      <w:pPr>
        <w:keepNext/>
        <w:spacing w:before="160" w:after="80" w:line="264" w:lineRule="auto"/>
      </w:pPr>
      <w:r>
        <w:rPr>
          <w:rFonts w:ascii="Arial" w:hAnsi="Arial" w:cs="Arial" w:eastAsia="Arial"/>
          <w:b/>
          <w:i w:val="0"/>
          <w:color w:val="1B253B"/>
          <w:sz w:val="23"/>
        </w:rPr>
        <w:t>Internal audit</w:t>
      </w:r>
    </w:p>
    <w:p>
      <w:pPr>
        <w:pStyle w:val="ListBullet"/>
        <w:keepNext w:val="0"/>
        <w:spacing w:before="0" w:after="60" w:line="276" w:lineRule="auto"/>
        <w:ind w:left="432" w:hanging="288"/>
      </w:pPr>
      <w:r>
        <w:rPr>
          <w:rFonts w:ascii="Arial" w:hAnsi="Arial" w:cs="Arial" w:eastAsia="Arial"/>
          <w:b w:val="0"/>
          <w:i w:val="0"/>
          <w:sz w:val="21"/>
        </w:rPr>
        <w:t>Carries out cyber security audits independently, as set out in SAMA-11.</w:t>
      </w:r>
    </w:p>
    <w:p>
      <w:pPr>
        <w:keepNext w:val="0"/>
        <w:spacing w:before="0" w:after="40" w:line="240" w:lineRule="auto"/>
      </w:pPr>
    </w:p>
    <w:p>
      <w:pPr>
        <w:keepNext/>
        <w:spacing w:before="160" w:after="80" w:line="264" w:lineRule="auto"/>
      </w:pPr>
      <w:r>
        <w:rPr>
          <w:rFonts w:ascii="Arial" w:hAnsi="Arial" w:cs="Arial" w:eastAsia="Arial"/>
          <w:b/>
          <w:i w:val="0"/>
          <w:color w:val="1B253B"/>
          <w:sz w:val="23"/>
        </w:rPr>
        <w:t>Every member of staff</w:t>
      </w:r>
    </w:p>
    <w:p>
      <w:pPr>
        <w:pStyle w:val="ListBullet"/>
        <w:keepNext w:val="0"/>
        <w:spacing w:before="0" w:after="60" w:line="276" w:lineRule="auto"/>
        <w:ind w:left="432" w:hanging="288"/>
      </w:pPr>
      <w:r>
        <w:rPr>
          <w:rFonts w:ascii="Arial" w:hAnsi="Arial" w:cs="Arial" w:eastAsia="Arial"/>
          <w:b w:val="0"/>
          <w:i w:val="0"/>
          <w:sz w:val="21"/>
        </w:rPr>
        <w:t>Follows the cyber security policy, standards and procedures.</w:t>
      </w:r>
    </w:p>
    <w:p>
      <w:pPr>
        <w:pStyle w:val="ListBullet"/>
        <w:keepNext w:val="0"/>
        <w:spacing w:before="0" w:after="60" w:line="276" w:lineRule="auto"/>
        <w:ind w:left="432" w:hanging="288"/>
      </w:pPr>
      <w:r>
        <w:rPr>
          <w:rFonts w:ascii="Arial" w:hAnsi="Arial" w:cs="Arial" w:eastAsia="Arial"/>
          <w:b w:val="0"/>
          <w:i w:val="0"/>
          <w:sz w:val="21"/>
        </w:rPr>
        <w:t>Reports incidents and suspected weaknesses at once.</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Who does what</w:t>
      </w:r>
    </w:p>
    <w:p>
      <w:pPr>
        <w:keepNext w:val="0"/>
        <w:spacing w:before="0" w:after="120" w:line="276" w:lineRule="auto"/>
      </w:pPr>
      <w:r>
        <w:rPr>
          <w:rFonts w:ascii="Arial" w:hAnsi="Arial" w:cs="Arial" w:eastAsia="Arial"/>
          <w:b w:val="0"/>
          <w:i w:val="0"/>
          <w:sz w:val="21"/>
        </w:rPr>
        <w:t>R = does the work. A = accountable. C = consulted. I = informed.</w:t>
      </w:r>
    </w:p>
    <w:tbl>
      <w:tblPr>
        <w:tblStyle w:val="TableGrid"/>
        <w:tblW w:type="auto" w:w="0"/>
        <w:jc w:val="center"/>
        <w:tblLayout w:type="fixed"/>
        <w:tblLook w:firstColumn="1" w:firstRow="1" w:lastColumn="0" w:lastRow="0" w:noHBand="0" w:noVBand="1" w:val="04A0"/>
      </w:tblPr>
      <w:tblGrid>
        <w:gridCol w:w="1310"/>
        <w:gridCol w:w="1310"/>
        <w:gridCol w:w="1310"/>
        <w:gridCol w:w="1310"/>
        <w:gridCol w:w="1310"/>
        <w:gridCol w:w="1310"/>
        <w:gridCol w:w="1310"/>
      </w:tblGrid>
      <w:tr>
        <w:trPr>
          <w:tblHeader w:val="true"/>
        </w:trPr>
        <w:tc>
          <w:tcPr>
            <w:tcW w:type="dxa" w:w="3168"/>
            <w:shd w:val="clear" w:color="auto" w:fill="DCE6F5"/>
          </w:tcPr>
          <w:p>
            <w:pPr>
              <w:keepNext w:val="0"/>
              <w:spacing w:before="40" w:after="40" w:line="240" w:lineRule="auto"/>
            </w:pPr>
            <w:r>
              <w:rPr>
                <w:rFonts w:ascii="Arial" w:hAnsi="Arial" w:cs="Arial" w:eastAsia="Arial"/>
                <w:b/>
                <w:i w:val="0"/>
                <w:color w:val="1B253B"/>
                <w:sz w:val="18"/>
              </w:rPr>
              <w:t>Activity</w:t>
            </w:r>
          </w:p>
        </w:tc>
        <w:tc>
          <w:tcPr>
            <w:tcW w:type="dxa" w:w="864"/>
            <w:shd w:val="clear" w:color="auto" w:fill="DCE6F5"/>
          </w:tcPr>
          <w:p>
            <w:pPr>
              <w:keepNext w:val="0"/>
              <w:spacing w:before="40" w:after="40" w:line="240" w:lineRule="auto"/>
            </w:pPr>
            <w:r>
              <w:rPr>
                <w:rFonts w:ascii="Arial" w:hAnsi="Arial" w:cs="Arial" w:eastAsia="Arial"/>
                <w:b/>
                <w:i w:val="0"/>
                <w:color w:val="1B253B"/>
                <w:sz w:val="18"/>
              </w:rPr>
              <w:t>Board</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Committee</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Senior mgmt</w:t>
            </w:r>
          </w:p>
        </w:tc>
        <w:tc>
          <w:tcPr>
            <w:tcW w:type="dxa" w:w="864"/>
            <w:shd w:val="clear" w:color="auto" w:fill="DCE6F5"/>
          </w:tcPr>
          <w:p>
            <w:pPr>
              <w:keepNext w:val="0"/>
              <w:spacing w:before="40" w:after="40" w:line="240" w:lineRule="auto"/>
            </w:pPr>
            <w:r>
              <w:rPr>
                <w:rFonts w:ascii="Arial" w:hAnsi="Arial" w:cs="Arial" w:eastAsia="Arial"/>
                <w:b/>
                <w:i w:val="0"/>
                <w:color w:val="1B253B"/>
                <w:sz w:val="18"/>
              </w:rPr>
              <w:t>CISO</w:t>
            </w:r>
          </w:p>
        </w:tc>
        <w:tc>
          <w:tcPr>
            <w:tcW w:type="dxa" w:w="864"/>
            <w:shd w:val="clear" w:color="auto" w:fill="DCE6F5"/>
          </w:tcPr>
          <w:p>
            <w:pPr>
              <w:keepNext w:val="0"/>
              <w:spacing w:before="40" w:after="40" w:line="240" w:lineRule="auto"/>
            </w:pPr>
            <w:r>
              <w:rPr>
                <w:rFonts w:ascii="Arial" w:hAnsi="Arial" w:cs="Arial" w:eastAsia="Arial"/>
                <w:b/>
                <w:i w:val="0"/>
                <w:color w:val="1B253B"/>
                <w:sz w:val="18"/>
              </w:rPr>
              <w:t>Audit</w:t>
            </w:r>
          </w:p>
        </w:tc>
        <w:tc>
          <w:tcPr>
            <w:tcW w:type="dxa" w:w="864"/>
            <w:shd w:val="clear" w:color="auto" w:fill="DCE6F5"/>
          </w:tcPr>
          <w:p>
            <w:pPr>
              <w:keepNext w:val="0"/>
              <w:spacing w:before="40" w:after="40" w:line="240" w:lineRule="auto"/>
            </w:pPr>
            <w:r>
              <w:rPr>
                <w:rFonts w:ascii="Arial" w:hAnsi="Arial" w:cs="Arial" w:eastAsia="Arial"/>
                <w:b/>
                <w:i w:val="0"/>
                <w:color w:val="1B253B"/>
                <w:sz w:val="18"/>
              </w:rPr>
              <w:t>Staff</w:t>
            </w:r>
          </w:p>
        </w:tc>
      </w:tr>
      <w:tr>
        <w:trPr>
          <w:cantSplit w:val="true"/>
        </w:trPr>
        <w:tc>
          <w:tcPr>
            <w:tcW w:type="dxa" w:w="3168"/>
          </w:tcPr>
          <w:p>
            <w:pPr>
              <w:keepNext w:val="0"/>
              <w:spacing w:before="40" w:after="40" w:line="240" w:lineRule="auto"/>
            </w:pPr>
            <w:r>
              <w:rPr>
                <w:rFonts w:ascii="Arial" w:hAnsi="Arial" w:cs="Arial" w:eastAsia="Arial"/>
                <w:b w:val="0"/>
                <w:i w:val="0"/>
                <w:sz w:val="18"/>
              </w:rPr>
              <w:t>Approve the budget</w:t>
            </w:r>
          </w:p>
        </w:tc>
        <w:tc>
          <w:tcPr>
            <w:tcW w:type="dxa" w:w="864"/>
          </w:tcPr>
          <w:p>
            <w:pPr>
              <w:keepNext w:val="0"/>
              <w:spacing w:before="40" w:after="40" w:line="240" w:lineRule="auto"/>
            </w:pPr>
            <w:r>
              <w:rPr>
                <w:rFonts w:ascii="Arial" w:hAnsi="Arial" w:cs="Arial" w:eastAsia="Arial"/>
                <w:b w:val="0"/>
                <w:i w:val="0"/>
                <w:sz w:val="18"/>
              </w:rPr>
              <w:t>A</w:t>
            </w:r>
          </w:p>
        </w:tc>
        <w:tc>
          <w:tcPr>
            <w:tcW w:type="dxa" w:w="1296"/>
          </w:tcPr>
          <w:p>
            <w:pPr>
              <w:keepNext w:val="0"/>
              <w:spacing w:before="40" w:after="40" w:line="240" w:lineRule="auto"/>
            </w:pPr>
            <w:r>
              <w:rPr>
                <w:rFonts w:ascii="Arial" w:hAnsi="Arial" w:cs="Arial" w:eastAsia="Arial"/>
                <w:b w:val="0"/>
                <w:i w:val="0"/>
                <w:sz w:val="18"/>
              </w:rPr>
              <w:t>R</w:t>
            </w:r>
          </w:p>
        </w:tc>
        <w:tc>
          <w:tcPr>
            <w:tcW w:type="dxa" w:w="1296"/>
          </w:tcPr>
          <w:p>
            <w:pPr>
              <w:keepNext w:val="0"/>
              <w:spacing w:before="40" w:after="40" w:line="240" w:lineRule="auto"/>
            </w:pPr>
            <w:r>
              <w:rPr>
                <w:rFonts w:ascii="Arial" w:hAnsi="Arial" w:cs="Arial" w:eastAsia="Arial"/>
                <w:b w:val="0"/>
                <w:i w:val="0"/>
                <w:sz w:val="18"/>
              </w:rPr>
              <w:t>C</w:t>
            </w:r>
          </w:p>
        </w:tc>
        <w:tc>
          <w:tcPr>
            <w:tcW w:type="dxa" w:w="864"/>
          </w:tcPr>
          <w:p>
            <w:pPr>
              <w:keepNext w:val="0"/>
              <w:spacing w:before="40" w:after="40" w:line="240" w:lineRule="auto"/>
            </w:pPr>
            <w:r>
              <w:rPr>
                <w:rFonts w:ascii="Arial" w:hAnsi="Arial" w:cs="Arial" w:eastAsia="Arial"/>
                <w:b w:val="0"/>
                <w:i w:val="0"/>
                <w:sz w:val="18"/>
              </w:rPr>
              <w:t>C</w:t>
            </w:r>
          </w:p>
        </w:tc>
        <w:tc>
          <w:tcPr>
            <w:tcW w:type="dxa" w:w="864"/>
          </w:tcPr>
          <w:p>
            <w:pPr>
              <w:keepNext w:val="0"/>
              <w:spacing w:before="40" w:after="40" w:line="240" w:lineRule="auto"/>
            </w:pPr>
            <w:r>
              <w:rPr>
                <w:rFonts w:ascii="Arial" w:hAnsi="Arial" w:cs="Arial" w:eastAsia="Arial"/>
                <w:b w:val="0"/>
                <w:i w:val="0"/>
                <w:sz w:val="18"/>
              </w:rPr>
              <w:t>I</w:t>
            </w:r>
          </w:p>
        </w:tc>
        <w:tc>
          <w:tcPr>
            <w:tcW w:type="dxa" w:w="864"/>
          </w:tcPr>
          <w:p>
            <w:pPr>
              <w:keepNext w:val="0"/>
              <w:spacing w:before="40" w:after="40" w:line="240" w:lineRule="auto"/>
            </w:pPr>
            <w:r>
              <w:rPr>
                <w:rFonts w:ascii="Arial" w:hAnsi="Arial" w:cs="Arial" w:eastAsia="Arial"/>
                <w:b w:val="0"/>
                <w:i w:val="0"/>
                <w:sz w:val="18"/>
              </w:rPr>
              <w:t>I</w:t>
            </w:r>
          </w:p>
        </w:tc>
      </w:tr>
      <w:tr>
        <w:trPr>
          <w:cantSplit w:val="true"/>
        </w:trPr>
        <w:tc>
          <w:tcPr>
            <w:tcW w:type="dxa" w:w="3168"/>
          </w:tcPr>
          <w:p>
            <w:pPr>
              <w:keepNext w:val="0"/>
              <w:spacing w:before="40" w:after="40" w:line="240" w:lineRule="auto"/>
            </w:pPr>
            <w:r>
              <w:rPr>
                <w:rFonts w:ascii="Arial" w:hAnsi="Arial" w:cs="Arial" w:eastAsia="Arial"/>
                <w:b w:val="0"/>
                <w:i w:val="0"/>
                <w:sz w:val="18"/>
              </w:rPr>
              <w:t>Approve the policy</w:t>
            </w:r>
          </w:p>
        </w:tc>
        <w:tc>
          <w:tcPr>
            <w:tcW w:type="dxa" w:w="864"/>
          </w:tcPr>
          <w:p>
            <w:pPr>
              <w:keepNext w:val="0"/>
              <w:spacing w:before="40" w:after="40" w:line="240" w:lineRule="auto"/>
            </w:pPr>
            <w:r>
              <w:rPr>
                <w:rFonts w:ascii="Arial" w:hAnsi="Arial" w:cs="Arial" w:eastAsia="Arial"/>
                <w:b w:val="0"/>
                <w:i w:val="0"/>
                <w:sz w:val="18"/>
              </w:rPr>
              <w:t>A</w:t>
            </w:r>
          </w:p>
        </w:tc>
        <w:tc>
          <w:tcPr>
            <w:tcW w:type="dxa" w:w="1296"/>
          </w:tcPr>
          <w:p>
            <w:pPr>
              <w:keepNext w:val="0"/>
              <w:spacing w:before="40" w:after="40" w:line="240" w:lineRule="auto"/>
            </w:pPr>
            <w:r>
              <w:rPr>
                <w:rFonts w:ascii="Arial" w:hAnsi="Arial" w:cs="Arial" w:eastAsia="Arial"/>
                <w:b w:val="0"/>
                <w:i w:val="0"/>
                <w:sz w:val="18"/>
              </w:rPr>
              <w:t>R</w:t>
            </w:r>
          </w:p>
        </w:tc>
        <w:tc>
          <w:tcPr>
            <w:tcW w:type="dxa" w:w="1296"/>
          </w:tcPr>
          <w:p>
            <w:pPr>
              <w:keepNext w:val="0"/>
              <w:spacing w:before="40" w:after="40" w:line="240" w:lineRule="auto"/>
            </w:pPr>
            <w:r>
              <w:rPr>
                <w:rFonts w:ascii="Arial" w:hAnsi="Arial" w:cs="Arial" w:eastAsia="Arial"/>
                <w:b w:val="0"/>
                <w:i w:val="0"/>
                <w:sz w:val="18"/>
              </w:rPr>
              <w:t>C</w:t>
            </w:r>
          </w:p>
        </w:tc>
        <w:tc>
          <w:tcPr>
            <w:tcW w:type="dxa" w:w="864"/>
          </w:tcPr>
          <w:p>
            <w:pPr>
              <w:keepNext w:val="0"/>
              <w:spacing w:before="40" w:after="40" w:line="240" w:lineRule="auto"/>
            </w:pPr>
            <w:r>
              <w:rPr>
                <w:rFonts w:ascii="Arial" w:hAnsi="Arial" w:cs="Arial" w:eastAsia="Arial"/>
                <w:b w:val="0"/>
                <w:i w:val="0"/>
                <w:sz w:val="18"/>
              </w:rPr>
              <w:t>C</w:t>
            </w:r>
          </w:p>
        </w:tc>
        <w:tc>
          <w:tcPr>
            <w:tcW w:type="dxa" w:w="864"/>
          </w:tcPr>
          <w:p>
            <w:pPr>
              <w:keepNext w:val="0"/>
              <w:spacing w:before="40" w:after="40" w:line="240" w:lineRule="auto"/>
            </w:pPr>
            <w:r>
              <w:rPr>
                <w:rFonts w:ascii="Arial" w:hAnsi="Arial" w:cs="Arial" w:eastAsia="Arial"/>
                <w:b w:val="0"/>
                <w:i w:val="0"/>
                <w:sz w:val="18"/>
              </w:rPr>
              <w:t>I</w:t>
            </w:r>
          </w:p>
        </w:tc>
        <w:tc>
          <w:tcPr>
            <w:tcW w:type="dxa" w:w="864"/>
          </w:tcPr>
          <w:p>
            <w:pPr>
              <w:keepNext w:val="0"/>
              <w:spacing w:before="40" w:after="40" w:line="240" w:lineRule="auto"/>
            </w:pPr>
            <w:r>
              <w:rPr>
                <w:rFonts w:ascii="Arial" w:hAnsi="Arial" w:cs="Arial" w:eastAsia="Arial"/>
                <w:b w:val="0"/>
                <w:i w:val="0"/>
                <w:sz w:val="18"/>
              </w:rPr>
              <w:t>I</w:t>
            </w:r>
          </w:p>
        </w:tc>
      </w:tr>
      <w:tr>
        <w:trPr>
          <w:cantSplit w:val="true"/>
        </w:trPr>
        <w:tc>
          <w:tcPr>
            <w:tcW w:type="dxa" w:w="3168"/>
          </w:tcPr>
          <w:p>
            <w:pPr>
              <w:keepNext w:val="0"/>
              <w:spacing w:before="40" w:after="40" w:line="240" w:lineRule="auto"/>
            </w:pPr>
            <w:r>
              <w:rPr>
                <w:rFonts w:ascii="Arial" w:hAnsi="Arial" w:cs="Arial" w:eastAsia="Arial"/>
                <w:b w:val="0"/>
                <w:i w:val="0"/>
                <w:sz w:val="18"/>
              </w:rPr>
              <w:t>Set and review the risk appetite</w:t>
            </w:r>
          </w:p>
        </w:tc>
        <w:tc>
          <w:tcPr>
            <w:tcW w:type="dxa" w:w="864"/>
          </w:tcPr>
          <w:p>
            <w:pPr>
              <w:keepNext w:val="0"/>
              <w:spacing w:before="40" w:after="40" w:line="240" w:lineRule="auto"/>
            </w:pPr>
            <w:r>
              <w:rPr>
                <w:rFonts w:ascii="Arial" w:hAnsi="Arial" w:cs="Arial" w:eastAsia="Arial"/>
                <w:b w:val="0"/>
                <w:i w:val="0"/>
                <w:sz w:val="18"/>
              </w:rPr>
              <w:t>A</w:t>
            </w:r>
          </w:p>
        </w:tc>
        <w:tc>
          <w:tcPr>
            <w:tcW w:type="dxa" w:w="1296"/>
          </w:tcPr>
          <w:p>
            <w:pPr>
              <w:keepNext w:val="0"/>
              <w:spacing w:before="40" w:after="40" w:line="240" w:lineRule="auto"/>
            </w:pPr>
            <w:r>
              <w:rPr>
                <w:rFonts w:ascii="Arial" w:hAnsi="Arial" w:cs="Arial" w:eastAsia="Arial"/>
                <w:b w:val="0"/>
                <w:i w:val="0"/>
                <w:sz w:val="18"/>
              </w:rPr>
              <w:t>R</w:t>
            </w:r>
          </w:p>
        </w:tc>
        <w:tc>
          <w:tcPr>
            <w:tcW w:type="dxa" w:w="1296"/>
          </w:tcPr>
          <w:p>
            <w:pPr>
              <w:keepNext w:val="0"/>
              <w:spacing w:before="40" w:after="40" w:line="240" w:lineRule="auto"/>
            </w:pPr>
            <w:r>
              <w:rPr>
                <w:rFonts w:ascii="Arial" w:hAnsi="Arial" w:cs="Arial" w:eastAsia="Arial"/>
                <w:b w:val="0"/>
                <w:i w:val="0"/>
                <w:sz w:val="18"/>
              </w:rPr>
              <w:t>C</w:t>
            </w:r>
          </w:p>
        </w:tc>
        <w:tc>
          <w:tcPr>
            <w:tcW w:type="dxa" w:w="864"/>
          </w:tcPr>
          <w:p>
            <w:pPr>
              <w:keepNext w:val="0"/>
              <w:spacing w:before="40" w:after="40" w:line="240" w:lineRule="auto"/>
            </w:pPr>
            <w:r>
              <w:rPr>
                <w:rFonts w:ascii="Arial" w:hAnsi="Arial" w:cs="Arial" w:eastAsia="Arial"/>
                <w:b w:val="0"/>
                <w:i w:val="0"/>
                <w:sz w:val="18"/>
              </w:rPr>
              <w:t>C</w:t>
            </w:r>
          </w:p>
        </w:tc>
        <w:tc>
          <w:tcPr>
            <w:tcW w:type="dxa" w:w="864"/>
          </w:tcPr>
          <w:p>
            <w:pPr>
              <w:keepNext w:val="0"/>
              <w:spacing w:before="40" w:after="40" w:line="240" w:lineRule="auto"/>
            </w:pPr>
            <w:r>
              <w:rPr>
                <w:rFonts w:ascii="Arial" w:hAnsi="Arial" w:cs="Arial" w:eastAsia="Arial"/>
                <w:b w:val="0"/>
                <w:i w:val="0"/>
                <w:sz w:val="18"/>
              </w:rPr>
              <w:t>I</w:t>
            </w:r>
          </w:p>
        </w:tc>
        <w:tc>
          <w:tcPr>
            <w:tcW w:type="dxa" w:w="864"/>
          </w:tcPr>
          <w:p>
            <w:pPr>
              <w:keepNext w:val="0"/>
              <w:spacing w:before="40" w:after="40" w:line="240" w:lineRule="auto"/>
            </w:pPr>
            <w:r>
              <w:rPr>
                <w:rFonts w:ascii="Arial" w:hAnsi="Arial" w:cs="Arial" w:eastAsia="Arial"/>
                <w:b w:val="0"/>
                <w:i w:val="0"/>
                <w:sz w:val="18"/>
              </w:rPr>
              <w:t>I</w:t>
            </w:r>
          </w:p>
        </w:tc>
      </w:tr>
      <w:tr>
        <w:trPr>
          <w:cantSplit w:val="true"/>
        </w:trPr>
        <w:tc>
          <w:tcPr>
            <w:tcW w:type="dxa" w:w="3168"/>
          </w:tcPr>
          <w:p>
            <w:pPr>
              <w:keepNext w:val="0"/>
              <w:spacing w:before="40" w:after="40" w:line="240" w:lineRule="auto"/>
            </w:pPr>
            <w:r>
              <w:rPr>
                <w:rFonts w:ascii="Arial" w:hAnsi="Arial" w:cs="Arial" w:eastAsia="Arial"/>
                <w:b w:val="0"/>
                <w:i w:val="0"/>
                <w:sz w:val="18"/>
              </w:rPr>
              <w:t>Keep standards and procedures current</w:t>
            </w:r>
          </w:p>
        </w:tc>
        <w:tc>
          <w:tcPr>
            <w:tcW w:type="dxa" w:w="864"/>
          </w:tcPr>
          <w:p>
            <w:pPr>
              <w:keepNext w:val="0"/>
              <w:spacing w:before="40" w:after="40" w:line="240" w:lineRule="auto"/>
            </w:pPr>
            <w:r>
              <w:rPr>
                <w:rFonts w:ascii="Arial" w:hAnsi="Arial" w:cs="Arial" w:eastAsia="Arial"/>
                <w:b w:val="0"/>
                <w:i w:val="0"/>
                <w:sz w:val="18"/>
              </w:rPr>
              <w:t>I</w:t>
            </w:r>
          </w:p>
        </w:tc>
        <w:tc>
          <w:tcPr>
            <w:tcW w:type="dxa" w:w="1296"/>
          </w:tcPr>
          <w:p>
            <w:pPr>
              <w:keepNext w:val="0"/>
              <w:spacing w:before="40" w:after="40" w:line="240" w:lineRule="auto"/>
            </w:pPr>
            <w:r>
              <w:rPr>
                <w:rFonts w:ascii="Arial" w:hAnsi="Arial" w:cs="Arial" w:eastAsia="Arial"/>
                <w:b w:val="0"/>
                <w:i w:val="0"/>
                <w:sz w:val="18"/>
              </w:rPr>
              <w:t>A</w:t>
            </w:r>
          </w:p>
        </w:tc>
        <w:tc>
          <w:tcPr>
            <w:tcW w:type="dxa" w:w="1296"/>
          </w:tcPr>
          <w:p>
            <w:pPr>
              <w:keepNext w:val="0"/>
              <w:spacing w:before="40" w:after="40" w:line="240" w:lineRule="auto"/>
            </w:pPr>
            <w:r>
              <w:rPr>
                <w:rFonts w:ascii="Arial" w:hAnsi="Arial" w:cs="Arial" w:eastAsia="Arial"/>
                <w:b w:val="0"/>
                <w:i w:val="0"/>
                <w:sz w:val="18"/>
              </w:rPr>
              <w:t>C</w:t>
            </w:r>
          </w:p>
        </w:tc>
        <w:tc>
          <w:tcPr>
            <w:tcW w:type="dxa" w:w="864"/>
          </w:tcPr>
          <w:p>
            <w:pPr>
              <w:keepNext w:val="0"/>
              <w:spacing w:before="40" w:after="40" w:line="240" w:lineRule="auto"/>
            </w:pPr>
            <w:r>
              <w:rPr>
                <w:rFonts w:ascii="Arial" w:hAnsi="Arial" w:cs="Arial" w:eastAsia="Arial"/>
                <w:b w:val="0"/>
                <w:i w:val="0"/>
                <w:sz w:val="18"/>
              </w:rPr>
              <w:t>R</w:t>
            </w:r>
          </w:p>
        </w:tc>
        <w:tc>
          <w:tcPr>
            <w:tcW w:type="dxa" w:w="864"/>
          </w:tcPr>
          <w:p>
            <w:pPr>
              <w:keepNext w:val="0"/>
              <w:spacing w:before="40" w:after="40" w:line="240" w:lineRule="auto"/>
            </w:pPr>
            <w:r>
              <w:rPr>
                <w:rFonts w:ascii="Arial" w:hAnsi="Arial" w:cs="Arial" w:eastAsia="Arial"/>
                <w:b w:val="0"/>
                <w:i w:val="0"/>
                <w:sz w:val="18"/>
              </w:rPr>
              <w:t>I</w:t>
            </w:r>
          </w:p>
        </w:tc>
        <w:tc>
          <w:tcPr>
            <w:tcW w:type="dxa" w:w="864"/>
          </w:tcPr>
          <w:p>
            <w:pPr>
              <w:keepNext w:val="0"/>
              <w:spacing w:before="40" w:after="40" w:line="240" w:lineRule="auto"/>
            </w:pPr>
            <w:r>
              <w:rPr>
                <w:rFonts w:ascii="Arial" w:hAnsi="Arial" w:cs="Arial" w:eastAsia="Arial"/>
                <w:b w:val="0"/>
                <w:i w:val="0"/>
                <w:sz w:val="18"/>
              </w:rPr>
              <w:t>I</w:t>
            </w:r>
          </w:p>
        </w:tc>
      </w:tr>
      <w:tr>
        <w:trPr>
          <w:cantSplit w:val="true"/>
        </w:trPr>
        <w:tc>
          <w:tcPr>
            <w:tcW w:type="dxa" w:w="3168"/>
          </w:tcPr>
          <w:p>
            <w:pPr>
              <w:keepNext w:val="0"/>
              <w:spacing w:before="40" w:after="40" w:line="240" w:lineRule="auto"/>
            </w:pPr>
            <w:r>
              <w:rPr>
                <w:rFonts w:ascii="Arial" w:hAnsi="Arial" w:cs="Arial" w:eastAsia="Arial"/>
                <w:b w:val="0"/>
                <w:i w:val="0"/>
                <w:sz w:val="18"/>
              </w:rPr>
              <w:t>Respond to a cyber incident</w:t>
            </w:r>
          </w:p>
        </w:tc>
        <w:tc>
          <w:tcPr>
            <w:tcW w:type="dxa" w:w="864"/>
          </w:tcPr>
          <w:p>
            <w:pPr>
              <w:keepNext w:val="0"/>
              <w:spacing w:before="40" w:after="40" w:line="240" w:lineRule="auto"/>
            </w:pPr>
            <w:r>
              <w:rPr>
                <w:rFonts w:ascii="Arial" w:hAnsi="Arial" w:cs="Arial" w:eastAsia="Arial"/>
                <w:b w:val="0"/>
                <w:i w:val="0"/>
                <w:sz w:val="18"/>
              </w:rPr>
              <w:t>I</w:t>
            </w:r>
          </w:p>
        </w:tc>
        <w:tc>
          <w:tcPr>
            <w:tcW w:type="dxa" w:w="1296"/>
          </w:tcPr>
          <w:p>
            <w:pPr>
              <w:keepNext w:val="0"/>
              <w:spacing w:before="40" w:after="40" w:line="240" w:lineRule="auto"/>
            </w:pPr>
            <w:r>
              <w:rPr>
                <w:rFonts w:ascii="Arial" w:hAnsi="Arial" w:cs="Arial" w:eastAsia="Arial"/>
                <w:b w:val="0"/>
                <w:i w:val="0"/>
                <w:sz w:val="18"/>
              </w:rPr>
              <w:t>I</w:t>
            </w:r>
          </w:p>
        </w:tc>
        <w:tc>
          <w:tcPr>
            <w:tcW w:type="dxa" w:w="1296"/>
          </w:tcPr>
          <w:p>
            <w:pPr>
              <w:keepNext w:val="0"/>
              <w:spacing w:before="40" w:after="40" w:line="240" w:lineRule="auto"/>
            </w:pPr>
            <w:r>
              <w:rPr>
                <w:rFonts w:ascii="Arial" w:hAnsi="Arial" w:cs="Arial" w:eastAsia="Arial"/>
                <w:b w:val="0"/>
                <w:i w:val="0"/>
                <w:sz w:val="18"/>
              </w:rPr>
              <w:t>C</w:t>
            </w:r>
          </w:p>
        </w:tc>
        <w:tc>
          <w:tcPr>
            <w:tcW w:type="dxa" w:w="864"/>
          </w:tcPr>
          <w:p>
            <w:pPr>
              <w:keepNext w:val="0"/>
              <w:spacing w:before="40" w:after="40" w:line="240" w:lineRule="auto"/>
            </w:pPr>
            <w:r>
              <w:rPr>
                <w:rFonts w:ascii="Arial" w:hAnsi="Arial" w:cs="Arial" w:eastAsia="Arial"/>
                <w:b w:val="0"/>
                <w:i w:val="0"/>
                <w:sz w:val="18"/>
              </w:rPr>
              <w:t>A</w:t>
            </w:r>
          </w:p>
        </w:tc>
        <w:tc>
          <w:tcPr>
            <w:tcW w:type="dxa" w:w="864"/>
          </w:tcPr>
          <w:p>
            <w:pPr>
              <w:keepNext w:val="0"/>
              <w:spacing w:before="40" w:after="40" w:line="240" w:lineRule="auto"/>
            </w:pPr>
            <w:r>
              <w:rPr>
                <w:rFonts w:ascii="Arial" w:hAnsi="Arial" w:cs="Arial" w:eastAsia="Arial"/>
                <w:b w:val="0"/>
                <w:i w:val="0"/>
                <w:sz w:val="18"/>
              </w:rPr>
              <w:t>I</w:t>
            </w:r>
          </w:p>
        </w:tc>
        <w:tc>
          <w:tcPr>
            <w:tcW w:type="dxa" w:w="864"/>
          </w:tcPr>
          <w:p>
            <w:pPr>
              <w:keepNext w:val="0"/>
              <w:spacing w:before="40" w:after="40" w:line="240" w:lineRule="auto"/>
            </w:pPr>
            <w:r>
              <w:rPr>
                <w:rFonts w:ascii="Arial" w:hAnsi="Arial" w:cs="Arial" w:eastAsia="Arial"/>
                <w:b w:val="0"/>
                <w:i w:val="0"/>
                <w:sz w:val="18"/>
              </w:rPr>
              <w:t>R</w:t>
            </w:r>
          </w:p>
        </w:tc>
      </w:tr>
      <w:tr>
        <w:trPr>
          <w:cantSplit w:val="true"/>
        </w:trPr>
        <w:tc>
          <w:tcPr>
            <w:tcW w:type="dxa" w:w="3168"/>
          </w:tcPr>
          <w:p>
            <w:pPr>
              <w:keepNext w:val="0"/>
              <w:spacing w:before="40" w:after="40" w:line="240" w:lineRule="auto"/>
            </w:pPr>
            <w:r>
              <w:rPr>
                <w:rFonts w:ascii="Arial" w:hAnsi="Arial" w:cs="Arial" w:eastAsia="Arial"/>
                <w:b w:val="0"/>
                <w:i w:val="0"/>
                <w:sz w:val="18"/>
              </w:rPr>
              <w:t>Audit cyber security</w:t>
            </w:r>
          </w:p>
        </w:tc>
        <w:tc>
          <w:tcPr>
            <w:tcW w:type="dxa" w:w="864"/>
          </w:tcPr>
          <w:p>
            <w:pPr>
              <w:keepNext w:val="0"/>
              <w:spacing w:before="40" w:after="40" w:line="240" w:lineRule="auto"/>
            </w:pPr>
            <w:r>
              <w:rPr>
                <w:rFonts w:ascii="Arial" w:hAnsi="Arial" w:cs="Arial" w:eastAsia="Arial"/>
                <w:b w:val="0"/>
                <w:i w:val="0"/>
                <w:sz w:val="18"/>
              </w:rPr>
              <w:t>I</w:t>
            </w:r>
          </w:p>
        </w:tc>
        <w:tc>
          <w:tcPr>
            <w:tcW w:type="dxa" w:w="1296"/>
          </w:tcPr>
          <w:p>
            <w:pPr>
              <w:keepNext w:val="0"/>
              <w:spacing w:before="40" w:after="40" w:line="240" w:lineRule="auto"/>
            </w:pPr>
            <w:r>
              <w:rPr>
                <w:rFonts w:ascii="Arial" w:hAnsi="Arial" w:cs="Arial" w:eastAsia="Arial"/>
                <w:b w:val="0"/>
                <w:i w:val="0"/>
                <w:sz w:val="18"/>
              </w:rPr>
              <w:t>I</w:t>
            </w:r>
          </w:p>
        </w:tc>
        <w:tc>
          <w:tcPr>
            <w:tcW w:type="dxa" w:w="1296"/>
          </w:tcPr>
          <w:p>
            <w:pPr>
              <w:keepNext w:val="0"/>
              <w:spacing w:before="40" w:after="40" w:line="240" w:lineRule="auto"/>
            </w:pPr>
            <w:r>
              <w:rPr>
                <w:rFonts w:ascii="Arial" w:hAnsi="Arial" w:cs="Arial" w:eastAsia="Arial"/>
                <w:b w:val="0"/>
                <w:i w:val="0"/>
                <w:sz w:val="18"/>
              </w:rPr>
              <w:t>C</w:t>
            </w:r>
          </w:p>
        </w:tc>
        <w:tc>
          <w:tcPr>
            <w:tcW w:type="dxa" w:w="864"/>
          </w:tcPr>
          <w:p>
            <w:pPr>
              <w:keepNext w:val="0"/>
              <w:spacing w:before="40" w:after="40" w:line="240" w:lineRule="auto"/>
            </w:pPr>
            <w:r>
              <w:rPr>
                <w:rFonts w:ascii="Arial" w:hAnsi="Arial" w:cs="Arial" w:eastAsia="Arial"/>
                <w:b w:val="0"/>
                <w:i w:val="0"/>
                <w:sz w:val="18"/>
              </w:rPr>
              <w:t>C</w:t>
            </w:r>
          </w:p>
        </w:tc>
        <w:tc>
          <w:tcPr>
            <w:tcW w:type="dxa" w:w="864"/>
          </w:tcPr>
          <w:p>
            <w:pPr>
              <w:keepNext w:val="0"/>
              <w:spacing w:before="40" w:after="40" w:line="240" w:lineRule="auto"/>
            </w:pPr>
            <w:r>
              <w:rPr>
                <w:rFonts w:ascii="Arial" w:hAnsi="Arial" w:cs="Arial" w:eastAsia="Arial"/>
                <w:b w:val="0"/>
                <w:i w:val="0"/>
                <w:sz w:val="18"/>
              </w:rPr>
              <w:t>A</w:t>
            </w:r>
          </w:p>
        </w:tc>
        <w:tc>
          <w:tcPr>
            <w:tcW w:type="dxa" w:w="864"/>
          </w:tcPr>
          <w:p>
            <w:pPr>
              <w:keepNext w:val="0"/>
              <w:spacing w:before="40" w:after="40" w:line="240" w:lineRule="auto"/>
            </w:pPr>
            <w:r>
              <w:rPr>
                <w:rFonts w:ascii="Arial" w:hAnsi="Arial" w:cs="Arial" w:eastAsia="Arial"/>
                <w:b w:val="0"/>
                <w:i w:val="0"/>
                <w:sz w:val="18"/>
              </w:rPr>
              <w:t>I</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Appointing the CISO</w:t>
      </w:r>
    </w:p>
    <w:p>
      <w:pPr>
        <w:keepNext w:val="0"/>
        <w:spacing w:before="0" w:after="120" w:line="276" w:lineRule="auto"/>
      </w:pPr>
      <w:r>
        <w:rPr>
          <w:rFonts w:ascii="Arial" w:hAnsi="Arial" w:cs="Arial" w:eastAsia="Arial"/>
          <w:b w:val="0"/>
          <w:i w:val="0"/>
          <w:sz w:val="21"/>
        </w:rPr>
        <w:t>A full-time senior manager leads the cyber security function. Before the role is assigned, every one of these steps is complete and kept as a record.</w:t>
      </w:r>
    </w:p>
    <w:p>
      <w:pPr>
        <w:keepNext w:val="0"/>
        <w:spacing w:before="0" w:after="60" w:line="276" w:lineRule="auto"/>
        <w:ind w:left="504" w:hanging="403"/>
      </w:pPr>
      <w:r>
        <w:rPr>
          <w:rFonts w:ascii="Arial" w:hAnsi="Arial" w:cs="Arial" w:eastAsia="Arial"/>
          <w:b w:val="0"/>
          <w:i w:val="0"/>
          <w:sz w:val="21"/>
        </w:rPr>
        <w:t>1.  The post is graded at senior management level and reports as set out in SAMA-01.</w:t>
      </w:r>
    </w:p>
    <w:p>
      <w:pPr>
        <w:keepNext w:val="0"/>
        <w:spacing w:before="0" w:after="60" w:line="276" w:lineRule="auto"/>
        <w:ind w:left="504" w:hanging="403"/>
      </w:pPr>
      <w:r>
        <w:rPr>
          <w:rFonts w:ascii="Arial" w:hAnsi="Arial" w:cs="Arial" w:eastAsia="Arial"/>
          <w:b w:val="0"/>
          <w:i w:val="0"/>
          <w:sz w:val="21"/>
        </w:rPr>
        <w:t>2.  The candidate is checked: a Saudi national, with the qualifications and experience the role needs.</w:t>
      </w:r>
    </w:p>
    <w:p>
      <w:pPr>
        <w:keepNext w:val="0"/>
        <w:spacing w:before="0" w:after="60" w:line="276" w:lineRule="auto"/>
        <w:ind w:left="504" w:hanging="403"/>
      </w:pPr>
      <w:r>
        <w:rPr>
          <w:rFonts w:ascii="Arial" w:hAnsi="Arial" w:cs="Arial" w:eastAsia="Arial"/>
          <w:b w:val="0"/>
          <w:i w:val="0"/>
          <w:sz w:val="21"/>
        </w:rPr>
        <w:t xml:space="preserve">3.  The organisation asks SAMA for its no-objection to the person, and </w:t>
      </w:r>
      <w:r>
        <w:rPr>
          <w:rFonts w:ascii="Arial" w:hAnsi="Arial" w:cs="Arial" w:eastAsia="Arial"/>
          <w:b/>
          <w:i w:val="0"/>
          <w:sz w:val="21"/>
        </w:rPr>
        <w:t>does not appoint until SAMA has replied</w:t>
      </w:r>
      <w:r>
        <w:rPr>
          <w:rFonts w:ascii="Arial" w:hAnsi="Arial" w:cs="Arial" w:eastAsia="Arial"/>
          <w:b w:val="0"/>
          <w:i w:val="0"/>
          <w:sz w:val="21"/>
        </w:rPr>
        <w:t>.</w:t>
      </w:r>
    </w:p>
    <w:p>
      <w:pPr>
        <w:keepNext w:val="0"/>
        <w:spacing w:before="0" w:after="60" w:line="276" w:lineRule="auto"/>
        <w:ind w:left="504" w:hanging="403"/>
      </w:pPr>
      <w:r>
        <w:rPr>
          <w:rFonts w:ascii="Arial" w:hAnsi="Arial" w:cs="Arial" w:eastAsia="Arial"/>
          <w:b w:val="0"/>
          <w:i w:val="0"/>
          <w:sz w:val="21"/>
        </w:rPr>
        <w:t>4.  The appointment is made in writing, and the job description is signed.</w:t>
      </w:r>
    </w:p>
    <w:p>
      <w:pPr>
        <w:keepNext w:val="0"/>
        <w:spacing w:before="0" w:after="40" w:line="240" w:lineRule="auto"/>
      </w:pP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320"/>
            <w:shd w:val="clear" w:color="auto" w:fill="DCE6F5"/>
          </w:tcPr>
          <w:p>
            <w:pPr>
              <w:keepNext w:val="0"/>
              <w:spacing w:before="40" w:after="40" w:line="240" w:lineRule="auto"/>
            </w:pPr>
            <w:r>
              <w:rPr>
                <w:rFonts w:ascii="Arial" w:hAnsi="Arial" w:cs="Arial" w:eastAsia="Arial"/>
                <w:b/>
                <w:i w:val="0"/>
                <w:color w:val="1B253B"/>
                <w:sz w:val="18"/>
              </w:rPr>
              <w:t>Step</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Done on</w:t>
            </w:r>
          </w:p>
        </w:tc>
        <w:tc>
          <w:tcPr>
            <w:tcW w:type="dxa" w:w="2880"/>
            <w:shd w:val="clear" w:color="auto" w:fill="DCE6F5"/>
          </w:tcPr>
          <w:p>
            <w:pPr>
              <w:keepNext w:val="0"/>
              <w:spacing w:before="40" w:after="40" w:line="240" w:lineRule="auto"/>
            </w:pPr>
            <w:r>
              <w:rPr>
                <w:rFonts w:ascii="Arial" w:hAnsi="Arial" w:cs="Arial" w:eastAsia="Arial"/>
                <w:b/>
                <w:i w:val="0"/>
                <w:color w:val="1B253B"/>
                <w:sz w:val="18"/>
              </w:rPr>
              <w:t>Record</w:t>
            </w:r>
          </w:p>
        </w:tc>
      </w:tr>
      <w:tr>
        <w:trPr>
          <w:cantSplit w:val="true"/>
        </w:trPr>
        <w:tc>
          <w:tcPr>
            <w:tcW w:type="dxa" w:w="4320"/>
          </w:tcPr>
          <w:p>
            <w:pPr>
              <w:keepNext w:val="0"/>
              <w:spacing w:before="40" w:after="40" w:line="240" w:lineRule="auto"/>
            </w:pPr>
            <w:r>
              <w:rPr>
                <w:rFonts w:ascii="Arial" w:hAnsi="Arial" w:cs="Arial" w:eastAsia="Arial"/>
                <w:b w:val="0"/>
                <w:i w:val="0"/>
                <w:sz w:val="18"/>
              </w:rPr>
              <w:t>Nationality, qualifications and experience checked</w:t>
            </w:r>
          </w:p>
        </w:tc>
        <w:tc>
          <w:tcPr>
            <w:tcW w:type="dxa" w:w="2016"/>
          </w:tcPr>
          <w:p>
            <w:pPr>
              <w:keepNext w:val="0"/>
              <w:spacing w:before="40" w:after="40" w:line="240" w:lineRule="auto"/>
            </w:pPr>
            <w:sdt>
              <w:sdtPr>
                <w:alias w:val="Date"/>
                <w:tag w:val="04.t4.r0.c1"/>
              </w:sdtPr>
              <w:sdtContent>
                <w:r>
                  <w:rPr>
                    <w:rFonts w:ascii="Arial" w:hAnsi="Arial" w:cs="Arial" w:eastAsia="Arial"/>
                    <w:b w:val="0"/>
                    <w:i w:val="0"/>
                    <w:sz w:val="18"/>
                    <w:highlight w:val="yellow"/>
                  </w:rPr>
                  <w:t>&lt;Date&gt;</w:t>
                </w:r>
              </w:sdtContent>
            </w:sdt>
          </w:p>
        </w:tc>
        <w:tc>
          <w:tcPr>
            <w:tcW w:type="dxa" w:w="2880"/>
          </w:tcPr>
          <w:p>
            <w:pPr>
              <w:keepNext w:val="0"/>
              <w:spacing w:before="40" w:after="40" w:line="240" w:lineRule="auto"/>
            </w:pPr>
            <w:sdt>
              <w:sdtPr>
                <w:alias w:val="Reference"/>
                <w:tag w:val="04.t4.r0.c2"/>
              </w:sdtPr>
              <w:sdtContent>
                <w:r>
                  <w:rPr>
                    <w:rFonts w:ascii="Arial" w:hAnsi="Arial" w:cs="Arial" w:eastAsia="Arial"/>
                    <w:b w:val="0"/>
                    <w:i w:val="0"/>
                    <w:sz w:val="18"/>
                    <w:highlight w:val="yellow"/>
                  </w:rPr>
                  <w:t>&lt;Reference&gt;</w:t>
                </w:r>
              </w:sdtContent>
            </w:sdt>
          </w:p>
        </w:tc>
      </w:tr>
      <w:tr>
        <w:trPr>
          <w:cantSplit w:val="true"/>
        </w:trPr>
        <w:tc>
          <w:tcPr>
            <w:tcW w:type="dxa" w:w="4320"/>
          </w:tcPr>
          <w:p>
            <w:pPr>
              <w:keepNext w:val="0"/>
              <w:spacing w:before="40" w:after="40" w:line="240" w:lineRule="auto"/>
            </w:pPr>
            <w:r>
              <w:rPr>
                <w:rFonts w:ascii="Arial" w:hAnsi="Arial" w:cs="Arial" w:eastAsia="Arial"/>
                <w:b w:val="0"/>
                <w:i w:val="0"/>
                <w:sz w:val="18"/>
              </w:rPr>
              <w:t>SAMA's no-objection received</w:t>
            </w:r>
          </w:p>
        </w:tc>
        <w:tc>
          <w:tcPr>
            <w:tcW w:type="dxa" w:w="2016"/>
          </w:tcPr>
          <w:p>
            <w:pPr>
              <w:keepNext w:val="0"/>
              <w:spacing w:before="40" w:after="40" w:line="240" w:lineRule="auto"/>
            </w:pPr>
            <w:sdt>
              <w:sdtPr>
                <w:alias w:val="Date"/>
                <w:tag w:val="04.t4.r1.c1"/>
              </w:sdtPr>
              <w:sdtContent>
                <w:r>
                  <w:rPr>
                    <w:rFonts w:ascii="Arial" w:hAnsi="Arial" w:cs="Arial" w:eastAsia="Arial"/>
                    <w:b w:val="0"/>
                    <w:i w:val="0"/>
                    <w:sz w:val="18"/>
                    <w:highlight w:val="yellow"/>
                  </w:rPr>
                  <w:t>&lt;Date&gt;</w:t>
                </w:r>
              </w:sdtContent>
            </w:sdt>
          </w:p>
        </w:tc>
        <w:tc>
          <w:tcPr>
            <w:tcW w:type="dxa" w:w="2880"/>
          </w:tcPr>
          <w:p>
            <w:pPr>
              <w:keepNext w:val="0"/>
              <w:spacing w:before="40" w:after="40" w:line="240" w:lineRule="auto"/>
            </w:pPr>
            <w:sdt>
              <w:sdtPr>
                <w:alias w:val="Reference"/>
                <w:tag w:val="04.t4.r1.c2"/>
              </w:sdtPr>
              <w:sdtContent>
                <w:r>
                  <w:rPr>
                    <w:rFonts w:ascii="Arial" w:hAnsi="Arial" w:cs="Arial" w:eastAsia="Arial"/>
                    <w:b w:val="0"/>
                    <w:i w:val="0"/>
                    <w:sz w:val="18"/>
                    <w:highlight w:val="yellow"/>
                  </w:rPr>
                  <w:t>&lt;Reference&gt;</w:t>
                </w:r>
              </w:sdtContent>
            </w:sdt>
          </w:p>
        </w:tc>
      </w:tr>
      <w:tr>
        <w:trPr>
          <w:cantSplit w:val="true"/>
        </w:trPr>
        <w:tc>
          <w:tcPr>
            <w:tcW w:type="dxa" w:w="4320"/>
          </w:tcPr>
          <w:p>
            <w:pPr>
              <w:keepNext w:val="0"/>
              <w:spacing w:before="40" w:after="40" w:line="240" w:lineRule="auto"/>
            </w:pPr>
            <w:r>
              <w:rPr>
                <w:rFonts w:ascii="Arial" w:hAnsi="Arial" w:cs="Arial" w:eastAsia="Arial"/>
                <w:b w:val="0"/>
                <w:i w:val="0"/>
                <w:sz w:val="18"/>
              </w:rPr>
              <w:t>Appointment letter signed</w:t>
            </w:r>
          </w:p>
        </w:tc>
        <w:tc>
          <w:tcPr>
            <w:tcW w:type="dxa" w:w="2016"/>
          </w:tcPr>
          <w:p>
            <w:pPr>
              <w:keepNext w:val="0"/>
              <w:spacing w:before="40" w:after="40" w:line="240" w:lineRule="auto"/>
            </w:pPr>
            <w:sdt>
              <w:sdtPr>
                <w:alias w:val="Date"/>
                <w:tag w:val="04.t4.r2.c1"/>
              </w:sdtPr>
              <w:sdtContent>
                <w:r>
                  <w:rPr>
                    <w:rFonts w:ascii="Arial" w:hAnsi="Arial" w:cs="Arial" w:eastAsia="Arial"/>
                    <w:b w:val="0"/>
                    <w:i w:val="0"/>
                    <w:sz w:val="18"/>
                    <w:highlight w:val="yellow"/>
                  </w:rPr>
                  <w:t>&lt;Date&gt;</w:t>
                </w:r>
              </w:sdtContent>
            </w:sdt>
          </w:p>
        </w:tc>
        <w:tc>
          <w:tcPr>
            <w:tcW w:type="dxa" w:w="2880"/>
          </w:tcPr>
          <w:p>
            <w:pPr>
              <w:keepNext w:val="0"/>
              <w:spacing w:before="40" w:after="40" w:line="240" w:lineRule="auto"/>
            </w:pPr>
            <w:sdt>
              <w:sdtPr>
                <w:alias w:val="Reference"/>
                <w:tag w:val="04.t4.r2.c2"/>
              </w:sdtPr>
              <w:sdtContent>
                <w:r>
                  <w:rPr>
                    <w:rFonts w:ascii="Arial" w:hAnsi="Arial" w:cs="Arial" w:eastAsia="Arial"/>
                    <w:b w:val="0"/>
                    <w:i w:val="0"/>
                    <w:sz w:val="18"/>
                    <w:highlight w:val="yellow"/>
                  </w:rPr>
                  <w:t>&lt;Reference&gt;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Job descriptions</w:t>
      </w:r>
    </w:p>
    <w:p>
      <w:pPr>
        <w:keepNext w:val="0"/>
        <w:spacing w:before="0" w:after="120" w:line="276" w:lineRule="auto"/>
      </w:pPr>
      <w:r>
        <w:rPr>
          <w:rFonts w:ascii="Arial" w:hAnsi="Arial" w:cs="Arial" w:eastAsia="Arial"/>
          <w:b w:val="0"/>
          <w:i w:val="0"/>
          <w:sz w:val="21"/>
        </w:rPr>
        <w:t>The job descriptions of key positions, and of everyone in cyber security, state their security responsibilities. HR checks this whenever a job description is written or changed, and the CISO is consulted.</w:t>
      </w:r>
    </w:p>
    <w:p>
      <w:pPr>
        <w:keepNext/>
        <w:spacing w:before="280" w:after="120" w:line="264" w:lineRule="auto"/>
      </w:pPr>
      <w:r>
        <w:rPr>
          <w:rFonts w:ascii="Arial" w:hAnsi="Arial" w:cs="Arial" w:eastAsia="Arial"/>
          <w:b/>
          <w:i w:val="0"/>
          <w:color w:val="1B253B"/>
          <w:sz w:val="28"/>
        </w:rPr>
        <w:t>7.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04.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Key positions with security duties in the job description</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Role holders who know their responsibilities</w:t>
            </w:r>
          </w:p>
        </w:tc>
        <w:tc>
          <w:tcPr>
            <w:tcW w:type="dxa" w:w="2592"/>
          </w:tcPr>
          <w:p>
            <w:pPr>
              <w:keepNext w:val="0"/>
              <w:spacing w:before="40" w:after="40" w:line="240" w:lineRule="auto"/>
            </w:pPr>
            <w:sdt>
              <w:sdtPr>
                <w:alias w:val="100% in the annual check"/>
                <w:tag w:val="04.t5.r1.c1"/>
              </w:sdtPr>
              <w:sdtContent>
                <w:r>
                  <w:rPr>
                    <w:rFonts w:ascii="Arial" w:hAnsi="Arial" w:cs="Arial" w:eastAsia="Arial"/>
                    <w:b w:val="0"/>
                    <w:i w:val="0"/>
                    <w:sz w:val="18"/>
                    <w:highlight w:val="yellow"/>
                  </w:rPr>
                  <w:t>&lt;100% in the annual check&gt;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9.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10.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3.1.4.1</w:t>
            </w:r>
          </w:p>
        </w:tc>
        <w:tc>
          <w:tcPr>
            <w:tcW w:type="dxa" w:w="7920"/>
          </w:tcPr>
          <w:p>
            <w:pPr>
              <w:keepNext w:val="0"/>
              <w:spacing w:before="40" w:after="40" w:line="240" w:lineRule="auto"/>
            </w:pPr>
            <w:r>
              <w:rPr>
                <w:rFonts w:ascii="Arial" w:hAnsi="Arial" w:cs="Arial" w:eastAsia="Arial"/>
                <w:b w:val="0"/>
                <w:i w:val="0"/>
                <w:sz w:val="18"/>
              </w:rPr>
              <w:t>Board responsibilities</w:t>
            </w:r>
          </w:p>
        </w:tc>
      </w:tr>
      <w:tr>
        <w:trPr>
          <w:cantSplit w:val="true"/>
        </w:trPr>
        <w:tc>
          <w:tcPr>
            <w:tcW w:type="dxa" w:w="1296"/>
          </w:tcPr>
          <w:p>
            <w:pPr>
              <w:keepNext w:val="0"/>
              <w:spacing w:before="40" w:after="40" w:line="240" w:lineRule="auto"/>
            </w:pPr>
            <w:r>
              <w:rPr>
                <w:rFonts w:ascii="Arial" w:hAnsi="Arial" w:cs="Arial" w:eastAsia="Arial"/>
                <w:b w:val="0"/>
                <w:i w:val="0"/>
                <w:sz w:val="18"/>
              </w:rPr>
              <w:t>3.1.4.2</w:t>
            </w:r>
          </w:p>
        </w:tc>
        <w:tc>
          <w:tcPr>
            <w:tcW w:type="dxa" w:w="7920"/>
          </w:tcPr>
          <w:p>
            <w:pPr>
              <w:keepNext w:val="0"/>
              <w:spacing w:before="40" w:after="40" w:line="240" w:lineRule="auto"/>
            </w:pPr>
            <w:r>
              <w:rPr>
                <w:rFonts w:ascii="Arial" w:hAnsi="Arial" w:cs="Arial" w:eastAsia="Arial"/>
                <w:b w:val="0"/>
                <w:i w:val="0"/>
                <w:sz w:val="18"/>
              </w:rPr>
              <w:t>Committee responsibilities</w:t>
            </w:r>
          </w:p>
        </w:tc>
      </w:tr>
      <w:tr>
        <w:trPr>
          <w:cantSplit w:val="true"/>
        </w:trPr>
        <w:tc>
          <w:tcPr>
            <w:tcW w:type="dxa" w:w="1296"/>
          </w:tcPr>
          <w:p>
            <w:pPr>
              <w:keepNext w:val="0"/>
              <w:spacing w:before="40" w:after="40" w:line="240" w:lineRule="auto"/>
            </w:pPr>
            <w:r>
              <w:rPr>
                <w:rFonts w:ascii="Arial" w:hAnsi="Arial" w:cs="Arial" w:eastAsia="Arial"/>
                <w:b w:val="0"/>
                <w:i w:val="0"/>
                <w:sz w:val="18"/>
              </w:rPr>
              <w:t>3.1.4.3</w:t>
            </w:r>
          </w:p>
        </w:tc>
        <w:tc>
          <w:tcPr>
            <w:tcW w:type="dxa" w:w="7920"/>
          </w:tcPr>
          <w:p>
            <w:pPr>
              <w:keepNext w:val="0"/>
              <w:spacing w:before="40" w:after="40" w:line="240" w:lineRule="auto"/>
            </w:pPr>
            <w:r>
              <w:rPr>
                <w:rFonts w:ascii="Arial" w:hAnsi="Arial" w:cs="Arial" w:eastAsia="Arial"/>
                <w:b w:val="0"/>
                <w:i w:val="0"/>
                <w:sz w:val="18"/>
              </w:rPr>
              <w:t>Senior management responsibilities</w:t>
            </w:r>
          </w:p>
        </w:tc>
      </w:tr>
      <w:tr>
        <w:trPr>
          <w:cantSplit w:val="true"/>
        </w:trPr>
        <w:tc>
          <w:tcPr>
            <w:tcW w:type="dxa" w:w="1296"/>
          </w:tcPr>
          <w:p>
            <w:pPr>
              <w:keepNext w:val="0"/>
              <w:spacing w:before="40" w:after="40" w:line="240" w:lineRule="auto"/>
            </w:pPr>
            <w:r>
              <w:rPr>
                <w:rFonts w:ascii="Arial" w:hAnsi="Arial" w:cs="Arial" w:eastAsia="Arial"/>
                <w:b w:val="0"/>
                <w:i w:val="0"/>
                <w:sz w:val="18"/>
              </w:rPr>
              <w:t>3.1.4.4</w:t>
            </w:r>
          </w:p>
        </w:tc>
        <w:tc>
          <w:tcPr>
            <w:tcW w:type="dxa" w:w="7920"/>
          </w:tcPr>
          <w:p>
            <w:pPr>
              <w:keepNext w:val="0"/>
              <w:spacing w:before="40" w:after="40" w:line="240" w:lineRule="auto"/>
            </w:pPr>
            <w:r>
              <w:rPr>
                <w:rFonts w:ascii="Arial" w:hAnsi="Arial" w:cs="Arial" w:eastAsia="Arial"/>
                <w:b w:val="0"/>
                <w:i w:val="0"/>
                <w:sz w:val="18"/>
              </w:rPr>
              <w:t>CISO responsibilities</w:t>
            </w:r>
          </w:p>
        </w:tc>
      </w:tr>
      <w:tr>
        <w:trPr>
          <w:cantSplit w:val="true"/>
        </w:trPr>
        <w:tc>
          <w:tcPr>
            <w:tcW w:type="dxa" w:w="1296"/>
          </w:tcPr>
          <w:p>
            <w:pPr>
              <w:keepNext w:val="0"/>
              <w:spacing w:before="40" w:after="40" w:line="240" w:lineRule="auto"/>
            </w:pPr>
            <w:r>
              <w:rPr>
                <w:rFonts w:ascii="Arial" w:hAnsi="Arial" w:cs="Arial" w:eastAsia="Arial"/>
                <w:b w:val="0"/>
                <w:i w:val="0"/>
                <w:sz w:val="18"/>
              </w:rPr>
              <w:t>3.1.4.5</w:t>
            </w:r>
          </w:p>
        </w:tc>
        <w:tc>
          <w:tcPr>
            <w:tcW w:type="dxa" w:w="7920"/>
          </w:tcPr>
          <w:p>
            <w:pPr>
              <w:keepNext w:val="0"/>
              <w:spacing w:before="40" w:after="40" w:line="240" w:lineRule="auto"/>
            </w:pPr>
            <w:r>
              <w:rPr>
                <w:rFonts w:ascii="Arial" w:hAnsi="Arial" w:cs="Arial" w:eastAsia="Arial"/>
                <w:b w:val="0"/>
                <w:i w:val="0"/>
                <w:sz w:val="18"/>
              </w:rPr>
              <w:t>Internal audit performs cyber security audits</w:t>
            </w:r>
          </w:p>
        </w:tc>
      </w:tr>
      <w:tr>
        <w:trPr>
          <w:cantSplit w:val="true"/>
        </w:trPr>
        <w:tc>
          <w:tcPr>
            <w:tcW w:type="dxa" w:w="1296"/>
          </w:tcPr>
          <w:p>
            <w:pPr>
              <w:keepNext w:val="0"/>
              <w:spacing w:before="40" w:after="40" w:line="240" w:lineRule="auto"/>
            </w:pPr>
            <w:r>
              <w:rPr>
                <w:rFonts w:ascii="Arial" w:hAnsi="Arial" w:cs="Arial" w:eastAsia="Arial"/>
                <w:b w:val="0"/>
                <w:i w:val="0"/>
                <w:sz w:val="18"/>
              </w:rPr>
              <w:t>3.1.4.6</w:t>
            </w:r>
          </w:p>
        </w:tc>
        <w:tc>
          <w:tcPr>
            <w:tcW w:type="dxa" w:w="7920"/>
          </w:tcPr>
          <w:p>
            <w:pPr>
              <w:keepNext w:val="0"/>
              <w:spacing w:before="40" w:after="40" w:line="240" w:lineRule="auto"/>
            </w:pPr>
            <w:r>
              <w:rPr>
                <w:rFonts w:ascii="Arial" w:hAnsi="Arial" w:cs="Arial" w:eastAsia="Arial"/>
                <w:b w:val="0"/>
                <w:i w:val="0"/>
                <w:sz w:val="18"/>
              </w:rPr>
              <w:t>All staff comply</w:t>
            </w:r>
          </w:p>
        </w:tc>
      </w:tr>
      <w:tr>
        <w:trPr>
          <w:cantSplit w:val="true"/>
        </w:trPr>
        <w:tc>
          <w:tcPr>
            <w:tcW w:type="dxa" w:w="1296"/>
          </w:tcPr>
          <w:p>
            <w:pPr>
              <w:keepNext w:val="0"/>
              <w:spacing w:before="40" w:after="40" w:line="240" w:lineRule="auto"/>
            </w:pPr>
            <w:r>
              <w:rPr>
                <w:rFonts w:ascii="Arial" w:hAnsi="Arial" w:cs="Arial" w:eastAsia="Arial"/>
                <w:b w:val="0"/>
                <w:i w:val="0"/>
                <w:sz w:val="18"/>
              </w:rPr>
              <w:t>3.1.1.8</w:t>
            </w:r>
          </w:p>
        </w:tc>
        <w:tc>
          <w:tcPr>
            <w:tcW w:type="dxa" w:w="7920"/>
          </w:tcPr>
          <w:p>
            <w:pPr>
              <w:keepNext w:val="0"/>
              <w:spacing w:before="40" w:after="40" w:line="240" w:lineRule="auto"/>
            </w:pPr>
            <w:r>
              <w:rPr>
                <w:rFonts w:ascii="Arial" w:hAnsi="Arial" w:cs="Arial" w:eastAsia="Arial"/>
                <w:b w:val="0"/>
                <w:i w:val="0"/>
                <w:sz w:val="18"/>
              </w:rPr>
              <w:t>Full-time CISO at senior management level</w:t>
            </w:r>
          </w:p>
        </w:tc>
      </w:tr>
      <w:tr>
        <w:trPr>
          <w:cantSplit w:val="true"/>
        </w:trPr>
        <w:tc>
          <w:tcPr>
            <w:tcW w:type="dxa" w:w="1296"/>
          </w:tcPr>
          <w:p>
            <w:pPr>
              <w:keepNext w:val="0"/>
              <w:spacing w:before="40" w:after="40" w:line="240" w:lineRule="auto"/>
            </w:pPr>
            <w:r>
              <w:rPr>
                <w:rFonts w:ascii="Arial" w:hAnsi="Arial" w:cs="Arial" w:eastAsia="Arial"/>
                <w:b w:val="0"/>
                <w:i w:val="0"/>
                <w:sz w:val="18"/>
              </w:rPr>
              <w:t>3.1.1.9</w:t>
            </w:r>
          </w:p>
        </w:tc>
        <w:tc>
          <w:tcPr>
            <w:tcW w:type="dxa" w:w="7920"/>
          </w:tcPr>
          <w:p>
            <w:pPr>
              <w:keepNext w:val="0"/>
              <w:spacing w:before="40" w:after="40" w:line="240" w:lineRule="auto"/>
            </w:pPr>
            <w:r>
              <w:rPr>
                <w:rFonts w:ascii="Arial" w:hAnsi="Arial" w:cs="Arial" w:eastAsia="Arial"/>
                <w:b w:val="0"/>
                <w:i w:val="0"/>
                <w:sz w:val="18"/>
              </w:rPr>
              <w:t>Saudi national, qualified, with SAMA's no-objection</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Roles and Responsibilities</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Roles and Responsibilities</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