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Awareness Programme</w:t>
      </w:r>
    </w:p>
    <w:p>
      <w:pPr>
        <w:keepNext w:val="0"/>
        <w:spacing w:before="0" w:after="200" w:line="240" w:lineRule="auto"/>
      </w:pPr>
      <w:r>
        <w:rPr>
          <w:rFonts w:ascii="Arial" w:hAnsi="Arial" w:cs="Arial" w:eastAsia="Arial"/>
          <w:b w:val="0"/>
          <w:i w:val="0"/>
          <w:color w:val="5B6678"/>
          <w:sz w:val="21"/>
        </w:rPr>
        <w:t>How staff, third parties and customers are made aware of cyber security, and how that is measured.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SAMA-06</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is the awareness programme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promotes cyber security awareness and creates a positive cyber security culture, in which people make sound, risk-aware decisions that protect the organisation's information. It reaches staff, third parties and customers.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Everyone who works for the organisation, its third parties with access to its information, and its retail and commercial customers.</w:t>
      </w:r>
    </w:p>
    <w:p>
      <w:pPr>
        <w:keepNext/>
        <w:spacing w:before="280" w:after="120" w:line="264" w:lineRule="auto"/>
      </w:pPr>
      <w:r>
        <w:rPr>
          <w:rFonts w:ascii="Arial" w:hAnsi="Arial" w:cs="Arial" w:eastAsia="Arial"/>
          <w:b/>
          <w:i w:val="0"/>
          <w:color w:val="1B253B"/>
          <w:sz w:val="28"/>
        </w:rPr>
        <w:t>3. Who the programme is for</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016"/>
            <w:shd w:val="clear" w:color="auto" w:fill="DCE6F5"/>
          </w:tcPr>
          <w:p>
            <w:pPr>
              <w:keepNext w:val="0"/>
              <w:spacing w:before="40" w:after="40" w:line="240" w:lineRule="auto"/>
            </w:pPr>
            <w:r>
              <w:rPr>
                <w:rFonts w:ascii="Arial" w:hAnsi="Arial" w:cs="Arial" w:eastAsia="Arial"/>
                <w:b/>
                <w:i w:val="0"/>
                <w:color w:val="1B253B"/>
                <w:sz w:val="18"/>
              </w:rPr>
              <w:t>Audience</w:t>
            </w:r>
          </w:p>
        </w:tc>
        <w:tc>
          <w:tcPr>
            <w:tcW w:type="dxa" w:w="4320"/>
            <w:shd w:val="clear" w:color="auto" w:fill="DCE6F5"/>
          </w:tcPr>
          <w:p>
            <w:pPr>
              <w:keepNext w:val="0"/>
              <w:spacing w:before="40" w:after="40" w:line="240" w:lineRule="auto"/>
            </w:pPr>
            <w:r>
              <w:rPr>
                <w:rFonts w:ascii="Arial" w:hAnsi="Arial" w:cs="Arial" w:eastAsia="Arial"/>
                <w:b/>
                <w:i w:val="0"/>
                <w:color w:val="1B253B"/>
                <w:sz w:val="18"/>
              </w:rPr>
              <w:t>What they need to do</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Main channels</w:t>
            </w:r>
          </w:p>
        </w:tc>
      </w:tr>
      <w:tr>
        <w:trPr>
          <w:cantSplit w:val="true"/>
        </w:trPr>
        <w:tc>
          <w:tcPr>
            <w:tcW w:type="dxa" w:w="2016"/>
          </w:tcPr>
          <w:p>
            <w:pPr>
              <w:keepNext w:val="0"/>
              <w:spacing w:before="40" w:after="40" w:line="240" w:lineRule="auto"/>
            </w:pPr>
            <w:r>
              <w:rPr>
                <w:rFonts w:ascii="Arial" w:hAnsi="Arial" w:cs="Arial" w:eastAsia="Arial"/>
                <w:b w:val="0"/>
                <w:i w:val="0"/>
                <w:sz w:val="18"/>
              </w:rPr>
              <w:t>Staff</w:t>
            </w:r>
          </w:p>
        </w:tc>
        <w:tc>
          <w:tcPr>
            <w:tcW w:type="dxa" w:w="4320"/>
          </w:tcPr>
          <w:p>
            <w:pPr>
              <w:keepNext w:val="0"/>
              <w:spacing w:before="40" w:after="40" w:line="240" w:lineRule="auto"/>
            </w:pPr>
            <w:r>
              <w:rPr>
                <w:rFonts w:ascii="Arial" w:hAnsi="Arial" w:cs="Arial" w:eastAsia="Arial"/>
                <w:b w:val="0"/>
                <w:i w:val="0"/>
                <w:sz w:val="18"/>
              </w:rPr>
              <w:t>Follow the policy, spot and report threats, protect the information they handle.</w:t>
            </w:r>
          </w:p>
        </w:tc>
        <w:tc>
          <w:tcPr>
            <w:tcW w:type="dxa" w:w="2880"/>
          </w:tcPr>
          <w:p>
            <w:pPr>
              <w:keepNext w:val="0"/>
              <w:spacing w:before="40" w:after="40" w:line="240" w:lineRule="auto"/>
            </w:pPr>
            <w:sdt>
              <w:sdtPr>
                <w:alias w:val="Induction, e-learning, email, posters, team sessions"/>
                <w:tag w:val="06.t3.r0.c2"/>
              </w:sdtPr>
              <w:sdtContent>
                <w:r>
                  <w:rPr>
                    <w:rFonts w:ascii="Arial" w:hAnsi="Arial" w:cs="Arial" w:eastAsia="Arial"/>
                    <w:b w:val="0"/>
                    <w:i w:val="0"/>
                    <w:sz w:val="18"/>
                    <w:highlight w:val="yellow"/>
                  </w:rPr>
                  <w:t>&lt;Induction, e-learning, email, posters, team sessions&gt;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Third parties</w:t>
            </w:r>
          </w:p>
        </w:tc>
        <w:tc>
          <w:tcPr>
            <w:tcW w:type="dxa" w:w="4320"/>
          </w:tcPr>
          <w:p>
            <w:pPr>
              <w:keepNext w:val="0"/>
              <w:spacing w:before="40" w:after="40" w:line="240" w:lineRule="auto"/>
            </w:pPr>
            <w:r>
              <w:rPr>
                <w:rFonts w:ascii="Arial" w:hAnsi="Arial" w:cs="Arial" w:eastAsia="Arial"/>
                <w:b w:val="0"/>
                <w:i w:val="0"/>
                <w:sz w:val="18"/>
              </w:rPr>
              <w:t>Meet the security requirements in their contracts and report incidents.</w:t>
            </w:r>
          </w:p>
        </w:tc>
        <w:tc>
          <w:tcPr>
            <w:tcW w:type="dxa" w:w="2880"/>
          </w:tcPr>
          <w:p>
            <w:pPr>
              <w:keepNext w:val="0"/>
              <w:spacing w:before="40" w:after="40" w:line="240" w:lineRule="auto"/>
            </w:pPr>
            <w:sdt>
              <w:sdtPr>
                <w:alias w:val="Onboarding pack, contract briefing, email"/>
                <w:tag w:val="06.t3.r1.c2"/>
              </w:sdtPr>
              <w:sdtContent>
                <w:r>
                  <w:rPr>
                    <w:rFonts w:ascii="Arial" w:hAnsi="Arial" w:cs="Arial" w:eastAsia="Arial"/>
                    <w:b w:val="0"/>
                    <w:i w:val="0"/>
                    <w:sz w:val="18"/>
                    <w:highlight w:val="yellow"/>
                  </w:rPr>
                  <w:t>&lt;Onboarding pack, contract briefing, email&gt;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Customers (retail and commercial)</w:t>
            </w:r>
          </w:p>
        </w:tc>
        <w:tc>
          <w:tcPr>
            <w:tcW w:type="dxa" w:w="4320"/>
          </w:tcPr>
          <w:p>
            <w:pPr>
              <w:keepNext w:val="0"/>
              <w:spacing w:before="40" w:after="40" w:line="240" w:lineRule="auto"/>
            </w:pPr>
            <w:r>
              <w:rPr>
                <w:rFonts w:ascii="Arial" w:hAnsi="Arial" w:cs="Arial" w:eastAsia="Arial"/>
                <w:b w:val="0"/>
                <w:i w:val="0"/>
                <w:sz w:val="18"/>
              </w:rPr>
              <w:t>Take the steps that reduce their own risk.</w:t>
            </w:r>
          </w:p>
        </w:tc>
        <w:tc>
          <w:tcPr>
            <w:tcW w:type="dxa" w:w="2880"/>
          </w:tcPr>
          <w:p>
            <w:pPr>
              <w:keepNext w:val="0"/>
              <w:spacing w:before="40" w:after="40" w:line="240" w:lineRule="auto"/>
            </w:pPr>
            <w:sdt>
              <w:sdtPr>
                <w:alias w:val="Website, app messages, SMS, branch material, social media"/>
                <w:tag w:val="06.t3.r2.c2"/>
              </w:sdtPr>
              <w:sdtContent>
                <w:r>
                  <w:rPr>
                    <w:rFonts w:ascii="Arial" w:hAnsi="Arial" w:cs="Arial" w:eastAsia="Arial"/>
                    <w:b w:val="0"/>
                    <w:i w:val="0"/>
                    <w:sz w:val="18"/>
                    <w:highlight w:val="yellow"/>
                  </w:rPr>
                  <w:t>&lt;Website, app messages, SMS, branch material, social media&gt;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What every audience is told</w:t>
      </w:r>
    </w:p>
    <w:p>
      <w:pPr>
        <w:keepNext w:val="0"/>
        <w:spacing w:before="0" w:after="120" w:line="276" w:lineRule="auto"/>
      </w:pPr>
      <w:r>
        <w:rPr>
          <w:rFonts w:ascii="Arial" w:hAnsi="Arial" w:cs="Arial" w:eastAsia="Arial"/>
          <w:b w:val="0"/>
          <w:i w:val="0"/>
          <w:sz w:val="21"/>
        </w:rPr>
        <w:t>At a minimum, awareness explains the security measures in place, people's roles and responsibilities, and relevant new threats and events, such as spear-phishing and whaling.</w:t>
      </w:r>
    </w:p>
    <w:p>
      <w:pPr>
        <w:keepNext/>
        <w:spacing w:before="280" w:after="120" w:line="264" w:lineRule="auto"/>
      </w:pPr>
      <w:r>
        <w:rPr>
          <w:rFonts w:ascii="Arial" w:hAnsi="Arial" w:cs="Arial" w:eastAsia="Arial"/>
          <w:b/>
          <w:i w:val="0"/>
          <w:color w:val="1B253B"/>
          <w:sz w:val="28"/>
        </w:rPr>
        <w:t>5. Tailored to the audience</w:t>
      </w:r>
    </w:p>
    <w:p>
      <w:pPr>
        <w:keepNext w:val="0"/>
        <w:spacing w:before="0" w:after="120" w:line="276" w:lineRule="auto"/>
      </w:pPr>
      <w:r>
        <w:rPr>
          <w:rFonts w:ascii="Arial" w:hAnsi="Arial" w:cs="Arial" w:eastAsia="Arial"/>
          <w:b w:val="0"/>
          <w:i w:val="0"/>
          <w:sz w:val="21"/>
        </w:rPr>
        <w:t>The programme targets behaviours, not just knowledge, and is tailored to the different audiences. For example: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880"/>
            <w:shd w:val="clear" w:color="auto" w:fill="DCE6F5"/>
          </w:tcPr>
          <w:p>
            <w:pPr>
              <w:keepNext w:val="0"/>
              <w:spacing w:before="40" w:after="40" w:line="240" w:lineRule="auto"/>
            </w:pPr>
            <w:r>
              <w:rPr>
                <w:rFonts w:ascii="Arial" w:hAnsi="Arial" w:cs="Arial" w:eastAsia="Arial"/>
                <w:b/>
                <w:i w:val="0"/>
                <w:color w:val="1B253B"/>
                <w:sz w:val="18"/>
              </w:rPr>
              <w:t>Group</w:t>
            </w:r>
          </w:p>
        </w:tc>
        <w:tc>
          <w:tcPr>
            <w:tcW w:type="dxa" w:w="6336"/>
            <w:shd w:val="clear" w:color="auto" w:fill="DCE6F5"/>
          </w:tcPr>
          <w:p>
            <w:pPr>
              <w:keepNext w:val="0"/>
              <w:spacing w:before="40" w:after="40" w:line="240" w:lineRule="auto"/>
            </w:pPr>
            <w:r>
              <w:rPr>
                <w:rFonts w:ascii="Arial" w:hAnsi="Arial" w:cs="Arial" w:eastAsia="Arial"/>
                <w:b/>
                <w:i w:val="0"/>
                <w:color w:val="1B253B"/>
                <w:sz w:val="18"/>
              </w:rPr>
              <w:t>Behaviours the programme targets</w:t>
            </w:r>
          </w:p>
        </w:tc>
      </w:tr>
      <w:tr>
        <w:trPr>
          <w:cantSplit w:val="true"/>
        </w:trPr>
        <w:tc>
          <w:tcPr>
            <w:tcW w:type="dxa" w:w="2880"/>
          </w:tcPr>
          <w:p>
            <w:pPr>
              <w:keepNext w:val="0"/>
              <w:spacing w:before="40" w:after="40" w:line="240" w:lineRule="auto"/>
            </w:pPr>
            <w:r>
              <w:rPr>
                <w:rFonts w:ascii="Arial" w:hAnsi="Arial" w:cs="Arial" w:eastAsia="Arial"/>
                <w:b w:val="0"/>
                <w:i w:val="0"/>
                <w:sz w:val="18"/>
              </w:rPr>
              <w:t>All staff</w:t>
            </w:r>
          </w:p>
        </w:tc>
        <w:tc>
          <w:tcPr>
            <w:tcW w:type="dxa" w:w="6336"/>
          </w:tcPr>
          <w:p>
            <w:pPr>
              <w:keepNext w:val="0"/>
              <w:spacing w:before="40" w:after="40" w:line="240" w:lineRule="auto"/>
            </w:pPr>
            <w:r>
              <w:rPr>
                <w:rFonts w:ascii="Arial" w:hAnsi="Arial" w:cs="Arial" w:eastAsia="Arial"/>
                <w:b w:val="0"/>
                <w:i w:val="0"/>
                <w:sz w:val="18"/>
              </w:rPr>
              <w:t>Recognise phishing, protect passwords, handle classified information, report quickly.</w:t>
            </w:r>
          </w:p>
        </w:tc>
      </w:tr>
      <w:tr>
        <w:trPr>
          <w:cantSplit w:val="true"/>
        </w:trPr>
        <w:tc>
          <w:tcPr>
            <w:tcW w:type="dxa" w:w="2880"/>
          </w:tcPr>
          <w:p>
            <w:pPr>
              <w:keepNext w:val="0"/>
              <w:spacing w:before="40" w:after="40" w:line="240" w:lineRule="auto"/>
            </w:pPr>
            <w:r>
              <w:rPr>
                <w:rFonts w:ascii="Arial" w:hAnsi="Arial" w:cs="Arial" w:eastAsia="Arial"/>
                <w:b w:val="0"/>
                <w:i w:val="0"/>
                <w:sz w:val="18"/>
              </w:rPr>
              <w:t>Senior management</w:t>
            </w:r>
          </w:p>
        </w:tc>
        <w:tc>
          <w:tcPr>
            <w:tcW w:type="dxa" w:w="6336"/>
          </w:tcPr>
          <w:p>
            <w:pPr>
              <w:keepNext w:val="0"/>
              <w:spacing w:before="40" w:after="40" w:line="240" w:lineRule="auto"/>
            </w:pPr>
            <w:r>
              <w:rPr>
                <w:rFonts w:ascii="Arial" w:hAnsi="Arial" w:cs="Arial" w:eastAsia="Arial"/>
                <w:b w:val="0"/>
                <w:i w:val="0"/>
                <w:sz w:val="18"/>
              </w:rPr>
              <w:t>Spot whaling and fraud, decide on risk, set the example.</w:t>
            </w:r>
          </w:p>
        </w:tc>
      </w:tr>
      <w:tr>
        <w:trPr>
          <w:cantSplit w:val="true"/>
        </w:trPr>
        <w:tc>
          <w:tcPr>
            <w:tcW w:type="dxa" w:w="2880"/>
          </w:tcPr>
          <w:p>
            <w:pPr>
              <w:keepNext w:val="0"/>
              <w:spacing w:before="40" w:after="40" w:line="240" w:lineRule="auto"/>
            </w:pPr>
            <w:r>
              <w:rPr>
                <w:rFonts w:ascii="Arial" w:hAnsi="Arial" w:cs="Arial" w:eastAsia="Arial"/>
                <w:b w:val="0"/>
                <w:i w:val="0"/>
                <w:sz w:val="18"/>
              </w:rPr>
              <w:t>IT and developers</w:t>
            </w:r>
          </w:p>
        </w:tc>
        <w:tc>
          <w:tcPr>
            <w:tcW w:type="dxa" w:w="6336"/>
          </w:tcPr>
          <w:p>
            <w:pPr>
              <w:keepNext w:val="0"/>
              <w:spacing w:before="40" w:after="40" w:line="240" w:lineRule="auto"/>
            </w:pPr>
            <w:r>
              <w:rPr>
                <w:rFonts w:ascii="Arial" w:hAnsi="Arial" w:cs="Arial" w:eastAsia="Arial"/>
                <w:b w:val="0"/>
                <w:i w:val="0"/>
                <w:sz w:val="18"/>
              </w:rPr>
              <w:t>Secure configuration and coding, access discipline.</w:t>
            </w:r>
          </w:p>
        </w:tc>
      </w:tr>
      <w:tr>
        <w:trPr>
          <w:cantSplit w:val="true"/>
        </w:trPr>
        <w:tc>
          <w:tcPr>
            <w:tcW w:type="dxa" w:w="2880"/>
          </w:tcPr>
          <w:p>
            <w:pPr>
              <w:keepNext w:val="0"/>
              <w:spacing w:before="40" w:after="40" w:line="240" w:lineRule="auto"/>
            </w:pPr>
            <w:r>
              <w:rPr>
                <w:rFonts w:ascii="Arial" w:hAnsi="Arial" w:cs="Arial" w:eastAsia="Arial"/>
                <w:b w:val="0"/>
                <w:i w:val="0"/>
                <w:sz w:val="18"/>
              </w:rPr>
              <w:t>Front-line and customer-facing staff</w:t>
            </w:r>
          </w:p>
        </w:tc>
        <w:tc>
          <w:tcPr>
            <w:tcW w:type="dxa" w:w="6336"/>
          </w:tcPr>
          <w:p>
            <w:pPr>
              <w:keepNext w:val="0"/>
              <w:spacing w:before="40" w:after="40" w:line="240" w:lineRule="auto"/>
            </w:pPr>
            <w:r>
              <w:rPr>
                <w:rFonts w:ascii="Arial" w:hAnsi="Arial" w:cs="Arial" w:eastAsia="Arial"/>
                <w:b w:val="0"/>
                <w:i w:val="0"/>
                <w:sz w:val="18"/>
              </w:rPr>
              <w:t>Verify customers, spot social engineering, report fraud.</w:t>
            </w:r>
          </w:p>
        </w:tc>
      </w:tr>
      <w:tr>
        <w:trPr>
          <w:cantSplit w:val="true"/>
        </w:trPr>
        <w:tc>
          <w:tcPr>
            <w:tcW w:type="dxa" w:w="2880"/>
          </w:tcPr>
          <w:p>
            <w:pPr>
              <w:keepNext w:val="0"/>
              <w:spacing w:before="40" w:after="40" w:line="240" w:lineRule="auto"/>
            </w:pPr>
            <w:sdt>
              <w:sdtPr>
                <w:alias w:val="Group"/>
                <w:tag w:val="06.t4.r4.c0"/>
              </w:sdtPr>
              <w:sdtContent>
                <w:r>
                  <w:rPr>
                    <w:rFonts w:ascii="Arial" w:hAnsi="Arial" w:cs="Arial" w:eastAsia="Arial"/>
                    <w:b w:val="0"/>
                    <w:i w:val="0"/>
                    <w:sz w:val="18"/>
                    <w:highlight w:val="yellow"/>
                  </w:rPr>
                  <w:t>&lt;Group&gt;</w:t>
                </w:r>
              </w:sdtContent>
            </w:sdt>
          </w:p>
        </w:tc>
        <w:tc>
          <w:tcPr>
            <w:tcW w:type="dxa" w:w="6336"/>
          </w:tcPr>
          <w:p>
            <w:pPr>
              <w:keepNext w:val="0"/>
              <w:spacing w:before="40" w:after="40" w:line="240" w:lineRule="auto"/>
            </w:pPr>
            <w:sdt>
              <w:sdtPr>
                <w:alias w:val="Behaviours"/>
                <w:tag w:val="06.t4.r4.c1"/>
              </w:sdtPr>
              <w:sdtContent>
                <w:r>
                  <w:rPr>
                    <w:rFonts w:ascii="Arial" w:hAnsi="Arial" w:cs="Arial" w:eastAsia="Arial"/>
                    <w:b w:val="0"/>
                    <w:i w:val="0"/>
                    <w:sz w:val="18"/>
                    <w:highlight w:val="yellow"/>
                  </w:rPr>
                  <w:t>&lt;Behaviours&gt;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Throughout the year</w:t>
      </w:r>
    </w:p>
    <w:p>
      <w:pPr>
        <w:keepNext w:val="0"/>
        <w:spacing w:before="0" w:after="120" w:line="276" w:lineRule="auto"/>
      </w:pPr>
      <w:r>
        <w:rPr>
          <w:rFonts w:ascii="Arial" w:hAnsi="Arial" w:cs="Arial" w:eastAsia="Arial"/>
          <w:b w:val="0"/>
          <w:i w:val="0"/>
          <w:sz w:val="21"/>
        </w:rPr>
        <w:t>Awareness is not a single event. Activities happen periodically through the year, following this plan.</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Month or quarter</w:t>
            </w:r>
          </w:p>
        </w:tc>
        <w:tc>
          <w:tcPr>
            <w:tcW w:type="dxa" w:w="3888"/>
            <w:shd w:val="clear" w:color="auto" w:fill="DCE6F5"/>
          </w:tcPr>
          <w:p>
            <w:pPr>
              <w:keepNext w:val="0"/>
              <w:spacing w:before="40" w:after="40" w:line="240" w:lineRule="auto"/>
            </w:pPr>
            <w:r>
              <w:rPr>
                <w:rFonts w:ascii="Arial" w:hAnsi="Arial" w:cs="Arial" w:eastAsia="Arial"/>
                <w:b/>
                <w:i w:val="0"/>
                <w:color w:val="1B253B"/>
                <w:sz w:val="18"/>
              </w:rPr>
              <w:t>Activity</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Audience</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872"/>
          </w:tcPr>
          <w:p>
            <w:pPr>
              <w:keepNext w:val="0"/>
              <w:spacing w:before="40" w:after="40" w:line="240" w:lineRule="auto"/>
            </w:pPr>
            <w:sdt>
              <w:sdtPr>
                <w:alias w:val="Period"/>
                <w:tag w:val="06.t5.r0.c0"/>
              </w:sdtPr>
              <w:sdtContent>
                <w:r>
                  <w:rPr>
                    <w:rFonts w:ascii="Arial" w:hAnsi="Arial" w:cs="Arial" w:eastAsia="Arial"/>
                    <w:b w:val="0"/>
                    <w:i w:val="0"/>
                    <w:sz w:val="18"/>
                    <w:highlight w:val="yellow"/>
                  </w:rPr>
                  <w:t>&lt;Period&gt;</w:t>
                </w:r>
              </w:sdtContent>
            </w:sdt>
          </w:p>
        </w:tc>
        <w:tc>
          <w:tcPr>
            <w:tcW w:type="dxa" w:w="3888"/>
          </w:tcPr>
          <w:p>
            <w:pPr>
              <w:keepNext w:val="0"/>
              <w:spacing w:before="40" w:after="40" w:line="240" w:lineRule="auto"/>
            </w:pPr>
            <w:sdt>
              <w:sdtPr>
                <w:alias w:val="Activity"/>
                <w:tag w:val="06.t5.r0.c1"/>
              </w:sdtPr>
              <w:sdtContent>
                <w:r>
                  <w:rPr>
                    <w:rFonts w:ascii="Arial" w:hAnsi="Arial" w:cs="Arial" w:eastAsia="Arial"/>
                    <w:b w:val="0"/>
                    <w:i w:val="0"/>
                    <w:sz w:val="18"/>
                    <w:highlight w:val="yellow"/>
                  </w:rPr>
                  <w:t>&lt;Activity&gt;</w:t>
                </w:r>
              </w:sdtContent>
            </w:sdt>
          </w:p>
        </w:tc>
        <w:tc>
          <w:tcPr>
            <w:tcW w:type="dxa" w:w="1872"/>
          </w:tcPr>
          <w:p>
            <w:pPr>
              <w:keepNext w:val="0"/>
              <w:spacing w:before="40" w:after="40" w:line="240" w:lineRule="auto"/>
            </w:pPr>
            <w:sdt>
              <w:sdtPr>
                <w:alias w:val="Audience"/>
                <w:tag w:val="06.t5.r0.c2"/>
              </w:sdtPr>
              <w:sdtContent>
                <w:r>
                  <w:rPr>
                    <w:rFonts w:ascii="Arial" w:hAnsi="Arial" w:cs="Arial" w:eastAsia="Arial"/>
                    <w:b w:val="0"/>
                    <w:i w:val="0"/>
                    <w:sz w:val="18"/>
                    <w:highlight w:val="yellow"/>
                  </w:rPr>
                  <w:t>&lt;Audience&gt;</w:t>
                </w:r>
              </w:sdtContent>
            </w:sdt>
          </w:p>
        </w:tc>
        <w:tc>
          <w:tcPr>
            <w:tcW w:type="dxa" w:w="1584"/>
          </w:tcPr>
          <w:p>
            <w:pPr>
              <w:keepNext w:val="0"/>
              <w:spacing w:before="40" w:after="40" w:line="240" w:lineRule="auto"/>
            </w:pPr>
            <w:sdt>
              <w:sdtPr>
                <w:alias w:val="Owner"/>
                <w:tag w:val="06.t5.r0.c3"/>
              </w:sdtPr>
              <w:sdtContent>
                <w:r>
                  <w:rPr>
                    <w:rFonts w:ascii="Arial" w:hAnsi="Arial" w:cs="Arial" w:eastAsia="Arial"/>
                    <w:b w:val="0"/>
                    <w:i w:val="0"/>
                    <w:sz w:val="18"/>
                    <w:highlight w:val="yellow"/>
                  </w:rPr>
                  <w:t>&lt;Owner&gt;</w:t>
                </w:r>
              </w:sdtContent>
            </w:sdt>
          </w:p>
        </w:tc>
      </w:tr>
      <w:tr>
        <w:trPr>
          <w:cantSplit w:val="true"/>
        </w:trPr>
        <w:tc>
          <w:tcPr>
            <w:tcW w:type="dxa" w:w="1872"/>
          </w:tcPr>
          <w:p>
            <w:pPr>
              <w:keepNext w:val="0"/>
              <w:spacing w:before="40" w:after="40" w:line="240" w:lineRule="auto"/>
            </w:pPr>
            <w:sdt>
              <w:sdtPr>
                <w:alias w:val="Period"/>
                <w:tag w:val="06.t5.r1.c0"/>
              </w:sdtPr>
              <w:sdtContent>
                <w:r>
                  <w:rPr>
                    <w:rFonts w:ascii="Arial" w:hAnsi="Arial" w:cs="Arial" w:eastAsia="Arial"/>
                    <w:b w:val="0"/>
                    <w:i w:val="0"/>
                    <w:sz w:val="18"/>
                    <w:highlight w:val="yellow"/>
                  </w:rPr>
                  <w:t>&lt;Period&gt;</w:t>
                </w:r>
              </w:sdtContent>
            </w:sdt>
          </w:p>
        </w:tc>
        <w:tc>
          <w:tcPr>
            <w:tcW w:type="dxa" w:w="3888"/>
          </w:tcPr>
          <w:p>
            <w:pPr>
              <w:keepNext w:val="0"/>
              <w:spacing w:before="40" w:after="40" w:line="240" w:lineRule="auto"/>
            </w:pPr>
            <w:sdt>
              <w:sdtPr>
                <w:alias w:val="Activity"/>
                <w:tag w:val="06.t5.r1.c1"/>
              </w:sdtPr>
              <w:sdtContent>
                <w:r>
                  <w:rPr>
                    <w:rFonts w:ascii="Arial" w:hAnsi="Arial" w:cs="Arial" w:eastAsia="Arial"/>
                    <w:b w:val="0"/>
                    <w:i w:val="0"/>
                    <w:sz w:val="18"/>
                    <w:highlight w:val="yellow"/>
                  </w:rPr>
                  <w:t>&lt;Activity&gt;</w:t>
                </w:r>
              </w:sdtContent>
            </w:sdt>
          </w:p>
        </w:tc>
        <w:tc>
          <w:tcPr>
            <w:tcW w:type="dxa" w:w="1872"/>
          </w:tcPr>
          <w:p>
            <w:pPr>
              <w:keepNext w:val="0"/>
              <w:spacing w:before="40" w:after="40" w:line="240" w:lineRule="auto"/>
            </w:pPr>
            <w:sdt>
              <w:sdtPr>
                <w:alias w:val="Audience"/>
                <w:tag w:val="06.t5.r1.c2"/>
              </w:sdtPr>
              <w:sdtContent>
                <w:r>
                  <w:rPr>
                    <w:rFonts w:ascii="Arial" w:hAnsi="Arial" w:cs="Arial" w:eastAsia="Arial"/>
                    <w:b w:val="0"/>
                    <w:i w:val="0"/>
                    <w:sz w:val="18"/>
                    <w:highlight w:val="yellow"/>
                  </w:rPr>
                  <w:t>&lt;Audience&gt;</w:t>
                </w:r>
              </w:sdtContent>
            </w:sdt>
          </w:p>
        </w:tc>
        <w:tc>
          <w:tcPr>
            <w:tcW w:type="dxa" w:w="1584"/>
          </w:tcPr>
          <w:p>
            <w:pPr>
              <w:keepNext w:val="0"/>
              <w:spacing w:before="40" w:after="40" w:line="240" w:lineRule="auto"/>
            </w:pPr>
            <w:sdt>
              <w:sdtPr>
                <w:alias w:val="Owner"/>
                <w:tag w:val="06.t5.r1.c3"/>
              </w:sdtPr>
              <w:sdtContent>
                <w:r>
                  <w:rPr>
                    <w:rFonts w:ascii="Arial" w:hAnsi="Arial" w:cs="Arial" w:eastAsia="Arial"/>
                    <w:b w:val="0"/>
                    <w:i w:val="0"/>
                    <w:sz w:val="18"/>
                    <w:highlight w:val="yellow"/>
                  </w:rPr>
                  <w:t>&lt;Owner&gt;</w:t>
                </w:r>
              </w:sdtContent>
            </w:sdt>
          </w:p>
        </w:tc>
      </w:tr>
      <w:tr>
        <w:trPr>
          <w:cantSplit w:val="true"/>
        </w:trPr>
        <w:tc>
          <w:tcPr>
            <w:tcW w:type="dxa" w:w="1872"/>
          </w:tcPr>
          <w:p>
            <w:pPr>
              <w:keepNext w:val="0"/>
              <w:spacing w:before="40" w:after="40" w:line="240" w:lineRule="auto"/>
            </w:pPr>
            <w:sdt>
              <w:sdtPr>
                <w:alias w:val="Period"/>
                <w:tag w:val="06.t5.r2.c0"/>
              </w:sdtPr>
              <w:sdtContent>
                <w:r>
                  <w:rPr>
                    <w:rFonts w:ascii="Arial" w:hAnsi="Arial" w:cs="Arial" w:eastAsia="Arial"/>
                    <w:b w:val="0"/>
                    <w:i w:val="0"/>
                    <w:sz w:val="18"/>
                    <w:highlight w:val="yellow"/>
                  </w:rPr>
                  <w:t>&lt;Period&gt;</w:t>
                </w:r>
              </w:sdtContent>
            </w:sdt>
          </w:p>
        </w:tc>
        <w:tc>
          <w:tcPr>
            <w:tcW w:type="dxa" w:w="3888"/>
          </w:tcPr>
          <w:p>
            <w:pPr>
              <w:keepNext w:val="0"/>
              <w:spacing w:before="40" w:after="40" w:line="240" w:lineRule="auto"/>
            </w:pPr>
            <w:sdt>
              <w:sdtPr>
                <w:alias w:val="Activity"/>
                <w:tag w:val="06.t5.r2.c1"/>
              </w:sdtPr>
              <w:sdtContent>
                <w:r>
                  <w:rPr>
                    <w:rFonts w:ascii="Arial" w:hAnsi="Arial" w:cs="Arial" w:eastAsia="Arial"/>
                    <w:b w:val="0"/>
                    <w:i w:val="0"/>
                    <w:sz w:val="18"/>
                    <w:highlight w:val="yellow"/>
                  </w:rPr>
                  <w:t>&lt;Activity&gt;</w:t>
                </w:r>
              </w:sdtContent>
            </w:sdt>
          </w:p>
        </w:tc>
        <w:tc>
          <w:tcPr>
            <w:tcW w:type="dxa" w:w="1872"/>
          </w:tcPr>
          <w:p>
            <w:pPr>
              <w:keepNext w:val="0"/>
              <w:spacing w:before="40" w:after="40" w:line="240" w:lineRule="auto"/>
            </w:pPr>
            <w:sdt>
              <w:sdtPr>
                <w:alias w:val="Audience"/>
                <w:tag w:val="06.t5.r2.c2"/>
              </w:sdtPr>
              <w:sdtContent>
                <w:r>
                  <w:rPr>
                    <w:rFonts w:ascii="Arial" w:hAnsi="Arial" w:cs="Arial" w:eastAsia="Arial"/>
                    <w:b w:val="0"/>
                    <w:i w:val="0"/>
                    <w:sz w:val="18"/>
                    <w:highlight w:val="yellow"/>
                  </w:rPr>
                  <w:t>&lt;Audience&gt;</w:t>
                </w:r>
              </w:sdtContent>
            </w:sdt>
          </w:p>
        </w:tc>
        <w:tc>
          <w:tcPr>
            <w:tcW w:type="dxa" w:w="1584"/>
          </w:tcPr>
          <w:p>
            <w:pPr>
              <w:keepNext w:val="0"/>
              <w:spacing w:before="40" w:after="40" w:line="240" w:lineRule="auto"/>
            </w:pPr>
            <w:sdt>
              <w:sdtPr>
                <w:alias w:val="Owner"/>
                <w:tag w:val="06.t5.r2.c3"/>
              </w:sdtPr>
              <w:sdtContent>
                <w:r>
                  <w:rPr>
                    <w:rFonts w:ascii="Arial" w:hAnsi="Arial" w:cs="Arial" w:eastAsia="Arial"/>
                    <w:b w:val="0"/>
                    <w:i w:val="0"/>
                    <w:sz w:val="18"/>
                    <w:highlight w:val="yellow"/>
                  </w:rPr>
                  <w:t>&lt;Owner&gt;</w:t>
                </w:r>
              </w:sdtContent>
            </w:sdt>
          </w:p>
        </w:tc>
      </w:tr>
      <w:tr>
        <w:trPr>
          <w:cantSplit w:val="true"/>
        </w:trPr>
        <w:tc>
          <w:tcPr>
            <w:tcW w:type="dxa" w:w="1872"/>
          </w:tcPr>
          <w:p>
            <w:pPr>
              <w:keepNext w:val="0"/>
              <w:spacing w:before="40" w:after="40" w:line="240" w:lineRule="auto"/>
            </w:pPr>
            <w:sdt>
              <w:sdtPr>
                <w:alias w:val="Period"/>
                <w:tag w:val="06.t5.r3.c0"/>
              </w:sdtPr>
              <w:sdtContent>
                <w:r>
                  <w:rPr>
                    <w:rFonts w:ascii="Arial" w:hAnsi="Arial" w:cs="Arial" w:eastAsia="Arial"/>
                    <w:b w:val="0"/>
                    <w:i w:val="0"/>
                    <w:sz w:val="18"/>
                    <w:highlight w:val="yellow"/>
                  </w:rPr>
                  <w:t>&lt;Period&gt;</w:t>
                </w:r>
              </w:sdtContent>
            </w:sdt>
          </w:p>
        </w:tc>
        <w:tc>
          <w:tcPr>
            <w:tcW w:type="dxa" w:w="3888"/>
          </w:tcPr>
          <w:p>
            <w:pPr>
              <w:keepNext w:val="0"/>
              <w:spacing w:before="40" w:after="40" w:line="240" w:lineRule="auto"/>
            </w:pPr>
            <w:sdt>
              <w:sdtPr>
                <w:alias w:val="Activity"/>
                <w:tag w:val="06.t5.r3.c1"/>
              </w:sdtPr>
              <w:sdtContent>
                <w:r>
                  <w:rPr>
                    <w:rFonts w:ascii="Arial" w:hAnsi="Arial" w:cs="Arial" w:eastAsia="Arial"/>
                    <w:b w:val="0"/>
                    <w:i w:val="0"/>
                    <w:sz w:val="18"/>
                    <w:highlight w:val="yellow"/>
                  </w:rPr>
                  <w:t>&lt;Activity&gt;</w:t>
                </w:r>
              </w:sdtContent>
            </w:sdt>
          </w:p>
        </w:tc>
        <w:tc>
          <w:tcPr>
            <w:tcW w:type="dxa" w:w="1872"/>
          </w:tcPr>
          <w:p>
            <w:pPr>
              <w:keepNext w:val="0"/>
              <w:spacing w:before="40" w:after="40" w:line="240" w:lineRule="auto"/>
            </w:pPr>
            <w:sdt>
              <w:sdtPr>
                <w:alias w:val="Audience"/>
                <w:tag w:val="06.t5.r3.c2"/>
              </w:sdtPr>
              <w:sdtContent>
                <w:r>
                  <w:rPr>
                    <w:rFonts w:ascii="Arial" w:hAnsi="Arial" w:cs="Arial" w:eastAsia="Arial"/>
                    <w:b w:val="0"/>
                    <w:i w:val="0"/>
                    <w:sz w:val="18"/>
                    <w:highlight w:val="yellow"/>
                  </w:rPr>
                  <w:t>&lt;Audience&gt;</w:t>
                </w:r>
              </w:sdtContent>
            </w:sdt>
          </w:p>
        </w:tc>
        <w:tc>
          <w:tcPr>
            <w:tcW w:type="dxa" w:w="1584"/>
          </w:tcPr>
          <w:p>
            <w:pPr>
              <w:keepNext w:val="0"/>
              <w:spacing w:before="40" w:after="40" w:line="240" w:lineRule="auto"/>
            </w:pPr>
            <w:sdt>
              <w:sdtPr>
                <w:alias w:val="Owner"/>
                <w:tag w:val="06.t5.r3.c3"/>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Customer awareness</w:t>
      </w:r>
    </w:p>
    <w:p>
      <w:pPr>
        <w:keepNext w:val="0"/>
        <w:spacing w:before="0" w:after="120" w:line="276" w:lineRule="auto"/>
      </w:pPr>
      <w:r>
        <w:rPr>
          <w:rFonts w:ascii="Arial" w:hAnsi="Arial" w:cs="Arial" w:eastAsia="Arial"/>
          <w:b w:val="0"/>
          <w:i w:val="0"/>
          <w:sz w:val="21"/>
        </w:rPr>
        <w:t>Customer awareness covers both retail and commercial customers. At a minimum it lists the measures customers can take to reduce their own risk, such as:</w:t>
      </w:r>
    </w:p>
    <w:p>
      <w:pPr>
        <w:pStyle w:val="ListBullet"/>
        <w:keepNext w:val="0"/>
        <w:spacing w:before="0" w:after="60" w:line="276" w:lineRule="auto"/>
        <w:ind w:left="432" w:hanging="288"/>
      </w:pPr>
      <w:r>
        <w:rPr>
          <w:rFonts w:ascii="Arial" w:hAnsi="Arial" w:cs="Arial" w:eastAsia="Arial"/>
          <w:b w:val="0"/>
          <w:i w:val="0"/>
          <w:sz w:val="21"/>
        </w:rPr>
        <w:t>Never share a password, PIN, one-time code or card details with anyone, including someone who says they are from the organisation.</w:t>
      </w:r>
    </w:p>
    <w:p>
      <w:pPr>
        <w:pStyle w:val="ListBullet"/>
        <w:keepNext w:val="0"/>
        <w:spacing w:before="0" w:after="60" w:line="276" w:lineRule="auto"/>
        <w:ind w:left="432" w:hanging="288"/>
      </w:pPr>
      <w:r>
        <w:rPr>
          <w:rFonts w:ascii="Arial" w:hAnsi="Arial" w:cs="Arial" w:eastAsia="Arial"/>
          <w:b w:val="0"/>
          <w:i w:val="0"/>
          <w:sz w:val="21"/>
        </w:rPr>
        <w:t>Only use the organisation's official website, apps and app stores.</w:t>
      </w:r>
    </w:p>
    <w:p>
      <w:pPr>
        <w:pStyle w:val="ListBullet"/>
        <w:keepNext w:val="0"/>
        <w:spacing w:before="0" w:after="60" w:line="276" w:lineRule="auto"/>
        <w:ind w:left="432" w:hanging="288"/>
      </w:pPr>
      <w:r>
        <w:rPr>
          <w:rFonts w:ascii="Arial" w:hAnsi="Arial" w:cs="Arial" w:eastAsia="Arial"/>
          <w:b w:val="0"/>
          <w:i w:val="0"/>
          <w:sz w:val="21"/>
        </w:rPr>
        <w:t>Keep devices and apps up to date, and use a screen lock.</w:t>
      </w:r>
    </w:p>
    <w:p>
      <w:pPr>
        <w:pStyle w:val="ListBullet"/>
        <w:keepNext w:val="0"/>
        <w:spacing w:before="0" w:after="60" w:line="276" w:lineRule="auto"/>
        <w:ind w:left="432" w:hanging="288"/>
      </w:pPr>
      <w:r>
        <w:rPr>
          <w:rFonts w:ascii="Arial" w:hAnsi="Arial" w:cs="Arial" w:eastAsia="Arial"/>
          <w:b w:val="0"/>
          <w:i w:val="0"/>
          <w:sz w:val="21"/>
        </w:rPr>
        <w:t xml:space="preserve">Check every message and every transaction notification, and report anything unfamiliar straight away to </w:t>
      </w:r>
      <w:sdt>
        <w:sdtPr>
          <w:alias w:val="Where people report security incidents"/>
          <w:tag w:val="security_contact"/>
        </w:sdtPr>
        <w:sdtContent>
          <w:r>
            <w:rPr>
              <w:rFonts w:ascii="Arial" w:hAnsi="Arial" w:cs="Arial" w:eastAsia="Arial"/>
              <w:b w:val="0"/>
              <w:i w:val="0"/>
              <w:sz w:val="21"/>
              <w:highlight w:val="yellow"/>
            </w:rPr>
            <w:t>&lt;the contact point&gt;</w:t>
          </w:r>
        </w:sdtContent>
      </w:sdt>
      <w:r>
        <w:rPr>
          <w:rFonts w:ascii="Arial" w:hAnsi="Arial" w:cs="Arial" w:eastAsia="Arial"/>
          <w:b w:val="0"/>
          <w:i w:val="0"/>
          <w:sz w:val="21"/>
        </w:rPr>
        <w:t>.</w:t>
      </w:r>
    </w:p>
    <w:p>
      <w:pPr>
        <w:pStyle w:val="ListBullet"/>
        <w:keepNext w:val="0"/>
        <w:spacing w:before="0" w:after="60" w:line="276" w:lineRule="auto"/>
        <w:ind w:left="432" w:hanging="288"/>
      </w:pPr>
      <w:sdt>
        <w:sdtPr>
          <w:alias w:val="One more measure that suits the organisation's services"/>
          <w:tag w:val="06.customer_tip"/>
        </w:sdtPr>
        <w:sdtContent>
          <w:r>
            <w:rPr>
              <w:rFonts w:ascii="Arial" w:hAnsi="Arial" w:cs="Arial" w:eastAsia="Arial"/>
              <w:b w:val="0"/>
              <w:i w:val="0"/>
              <w:sz w:val="21"/>
              <w:highlight w:val="yellow"/>
            </w:rPr>
            <w:t>&lt;One more measure that suits the organisation's services&gt;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Checking that it works</w:t>
      </w:r>
    </w:p>
    <w:p>
      <w:pPr>
        <w:keepNext w:val="0"/>
        <w:spacing w:before="0" w:after="120" w:line="276" w:lineRule="auto"/>
      </w:pPr>
      <w:r>
        <w:rPr>
          <w:rFonts w:ascii="Arial" w:hAnsi="Arial" w:cs="Arial" w:eastAsia="Arial"/>
          <w:b w:val="0"/>
          <w:i w:val="0"/>
          <w:sz w:val="21"/>
        </w:rPr>
        <w:t>The programme is evaluated to measure how effective its activities are, and to recommend improvements. The CISO uses the results below, and reports them to the committee.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4320"/>
            <w:shd w:val="clear" w:color="auto" w:fill="DCE6F5"/>
          </w:tcPr>
          <w:p>
            <w:pPr>
              <w:keepNext w:val="0"/>
              <w:spacing w:before="40" w:after="40" w:line="240" w:lineRule="auto"/>
            </w:pPr>
            <w:r>
              <w:rPr>
                <w:rFonts w:ascii="Arial" w:hAnsi="Arial" w:cs="Arial" w:eastAsia="Arial"/>
                <w:b/>
                <w:i w:val="0"/>
                <w:color w:val="1B253B"/>
                <w:sz w:val="18"/>
              </w:rPr>
              <w:t>Measure</w:t>
            </w:r>
          </w:p>
        </w:tc>
        <w:tc>
          <w:tcPr>
            <w:tcW w:type="dxa" w:w="4896"/>
            <w:shd w:val="clear" w:color="auto" w:fill="DCE6F5"/>
          </w:tcPr>
          <w:p>
            <w:pPr>
              <w:keepNext w:val="0"/>
              <w:spacing w:before="40" w:after="40" w:line="240" w:lineRule="auto"/>
            </w:pPr>
            <w:r>
              <w:rPr>
                <w:rFonts w:ascii="Arial" w:hAnsi="Arial" w:cs="Arial" w:eastAsia="Arial"/>
                <w:b/>
                <w:i w:val="0"/>
                <w:color w:val="1B253B"/>
                <w:sz w:val="18"/>
              </w:rPr>
              <w:t>How it is collected</w:t>
            </w:r>
          </w:p>
        </w:tc>
      </w:tr>
      <w:tr>
        <w:trPr>
          <w:cantSplit w:val="true"/>
        </w:trPr>
        <w:tc>
          <w:tcPr>
            <w:tcW w:type="dxa" w:w="4320"/>
          </w:tcPr>
          <w:p>
            <w:pPr>
              <w:keepNext w:val="0"/>
              <w:spacing w:before="40" w:after="40" w:line="240" w:lineRule="auto"/>
            </w:pPr>
            <w:r>
              <w:rPr>
                <w:rFonts w:ascii="Arial" w:hAnsi="Arial" w:cs="Arial" w:eastAsia="Arial"/>
                <w:b w:val="0"/>
                <w:i w:val="0"/>
                <w:sz w:val="18"/>
              </w:rPr>
              <w:t>Phishing test click and report rates</w:t>
            </w:r>
          </w:p>
        </w:tc>
        <w:tc>
          <w:tcPr>
            <w:tcW w:type="dxa" w:w="4896"/>
          </w:tcPr>
          <w:p>
            <w:pPr>
              <w:keepNext w:val="0"/>
              <w:spacing w:before="40" w:after="40" w:line="240" w:lineRule="auto"/>
            </w:pPr>
            <w:r>
              <w:rPr>
                <w:rFonts w:ascii="Arial" w:hAnsi="Arial" w:cs="Arial" w:eastAsia="Arial"/>
                <w:b w:val="0"/>
                <w:i w:val="0"/>
                <w:sz w:val="18"/>
              </w:rPr>
              <w:t>Simulated phishing campaigns</w:t>
            </w:r>
          </w:p>
        </w:tc>
      </w:tr>
      <w:tr>
        <w:trPr>
          <w:cantSplit w:val="true"/>
        </w:trPr>
        <w:tc>
          <w:tcPr>
            <w:tcW w:type="dxa" w:w="4320"/>
          </w:tcPr>
          <w:p>
            <w:pPr>
              <w:keepNext w:val="0"/>
              <w:spacing w:before="40" w:after="40" w:line="240" w:lineRule="auto"/>
            </w:pPr>
            <w:r>
              <w:rPr>
                <w:rFonts w:ascii="Arial" w:hAnsi="Arial" w:cs="Arial" w:eastAsia="Arial"/>
                <w:b w:val="0"/>
                <w:i w:val="0"/>
                <w:sz w:val="18"/>
              </w:rPr>
              <w:t>Completion of awareness activities</w:t>
            </w:r>
          </w:p>
        </w:tc>
        <w:tc>
          <w:tcPr>
            <w:tcW w:type="dxa" w:w="4896"/>
          </w:tcPr>
          <w:p>
            <w:pPr>
              <w:keepNext w:val="0"/>
              <w:spacing w:before="40" w:after="40" w:line="240" w:lineRule="auto"/>
            </w:pPr>
            <w:r>
              <w:rPr>
                <w:rFonts w:ascii="Arial" w:hAnsi="Arial" w:cs="Arial" w:eastAsia="Arial"/>
                <w:b w:val="0"/>
                <w:i w:val="0"/>
                <w:sz w:val="18"/>
              </w:rPr>
              <w:t>Learning records</w:t>
            </w:r>
          </w:p>
        </w:tc>
      </w:tr>
      <w:tr>
        <w:trPr>
          <w:cantSplit w:val="true"/>
        </w:trPr>
        <w:tc>
          <w:tcPr>
            <w:tcW w:type="dxa" w:w="4320"/>
          </w:tcPr>
          <w:p>
            <w:pPr>
              <w:keepNext w:val="0"/>
              <w:spacing w:before="40" w:after="40" w:line="240" w:lineRule="auto"/>
            </w:pPr>
            <w:r>
              <w:rPr>
                <w:rFonts w:ascii="Arial" w:hAnsi="Arial" w:cs="Arial" w:eastAsia="Arial"/>
                <w:b w:val="0"/>
                <w:i w:val="0"/>
                <w:sz w:val="18"/>
              </w:rPr>
              <w:t>Incidents caused by human error</w:t>
            </w:r>
          </w:p>
        </w:tc>
        <w:tc>
          <w:tcPr>
            <w:tcW w:type="dxa" w:w="4896"/>
          </w:tcPr>
          <w:p>
            <w:pPr>
              <w:keepNext w:val="0"/>
              <w:spacing w:before="40" w:after="40" w:line="240" w:lineRule="auto"/>
            </w:pPr>
            <w:r>
              <w:rPr>
                <w:rFonts w:ascii="Arial" w:hAnsi="Arial" w:cs="Arial" w:eastAsia="Arial"/>
                <w:b w:val="0"/>
                <w:i w:val="0"/>
                <w:sz w:val="18"/>
              </w:rPr>
              <w:t>Incident register</w:t>
            </w:r>
          </w:p>
        </w:tc>
      </w:tr>
      <w:tr>
        <w:trPr>
          <w:cantSplit w:val="true"/>
        </w:trPr>
        <w:tc>
          <w:tcPr>
            <w:tcW w:type="dxa" w:w="4320"/>
          </w:tcPr>
          <w:p>
            <w:pPr>
              <w:keepNext w:val="0"/>
              <w:spacing w:before="40" w:after="40" w:line="240" w:lineRule="auto"/>
            </w:pPr>
            <w:r>
              <w:rPr>
                <w:rFonts w:ascii="Arial" w:hAnsi="Arial" w:cs="Arial" w:eastAsia="Arial"/>
                <w:b w:val="0"/>
                <w:i w:val="0"/>
                <w:sz w:val="18"/>
              </w:rPr>
              <w:t>Understanding of key messages</w:t>
            </w:r>
          </w:p>
        </w:tc>
        <w:tc>
          <w:tcPr>
            <w:tcW w:type="dxa" w:w="4896"/>
          </w:tcPr>
          <w:p>
            <w:pPr>
              <w:keepNext w:val="0"/>
              <w:spacing w:before="40" w:after="40" w:line="240" w:lineRule="auto"/>
            </w:pPr>
            <w:r>
              <w:rPr>
                <w:rFonts w:ascii="Arial" w:hAnsi="Arial" w:cs="Arial" w:eastAsia="Arial"/>
                <w:b w:val="0"/>
                <w:i w:val="0"/>
                <w:sz w:val="18"/>
              </w:rPr>
              <w:t>Short quizzes and surveys</w:t>
            </w:r>
          </w:p>
        </w:tc>
      </w:tr>
      <w:tr>
        <w:trPr>
          <w:cantSplit w:val="true"/>
        </w:trPr>
        <w:tc>
          <w:tcPr>
            <w:tcW w:type="dxa" w:w="4320"/>
          </w:tcPr>
          <w:p>
            <w:pPr>
              <w:keepNext w:val="0"/>
              <w:spacing w:before="40" w:after="40" w:line="240" w:lineRule="auto"/>
            </w:pPr>
            <w:r>
              <w:rPr>
                <w:rFonts w:ascii="Arial" w:hAnsi="Arial" w:cs="Arial" w:eastAsia="Arial"/>
                <w:b w:val="0"/>
                <w:i w:val="0"/>
                <w:sz w:val="18"/>
              </w:rPr>
              <w:t>Customer reports of suspected fraud</w:t>
            </w:r>
          </w:p>
        </w:tc>
        <w:tc>
          <w:tcPr>
            <w:tcW w:type="dxa" w:w="4896"/>
          </w:tcPr>
          <w:p>
            <w:pPr>
              <w:keepNext w:val="0"/>
              <w:spacing w:before="40" w:after="40" w:line="240" w:lineRule="auto"/>
            </w:pPr>
            <w:r>
              <w:rPr>
                <w:rFonts w:ascii="Arial" w:hAnsi="Arial" w:cs="Arial" w:eastAsia="Arial"/>
                <w:b w:val="0"/>
                <w:i w:val="0"/>
                <w:sz w:val="18"/>
              </w:rPr>
              <w:t>Fraud and contact centre records</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6.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Staff who completed awareness this year</w:t>
            </w:r>
          </w:p>
        </w:tc>
        <w:tc>
          <w:tcPr>
            <w:tcW w:type="dxa" w:w="2592"/>
          </w:tcPr>
          <w:p>
            <w:pPr>
              <w:keepNext w:val="0"/>
              <w:spacing w:before="40" w:after="40" w:line="240" w:lineRule="auto"/>
            </w:pPr>
            <w:sdt>
              <w:sdtPr>
                <w:alias w:val="100%"/>
                <w:tag w:val="06.t7.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Phishing test click rate</w:t>
            </w:r>
          </w:p>
        </w:tc>
        <w:tc>
          <w:tcPr>
            <w:tcW w:type="dxa" w:w="2592"/>
          </w:tcPr>
          <w:p>
            <w:pPr>
              <w:keepNext w:val="0"/>
              <w:spacing w:before="40" w:after="40" w:line="240" w:lineRule="auto"/>
            </w:pPr>
            <w:sdt>
              <w:sdtPr>
                <w:alias w:val="Below 5%"/>
                <w:tag w:val="06.t7.r1.c1"/>
              </w:sdtPr>
              <w:sdtContent>
                <w:r>
                  <w:rPr>
                    <w:rFonts w:ascii="Arial" w:hAnsi="Arial" w:cs="Arial" w:eastAsia="Arial"/>
                    <w:b w:val="0"/>
                    <w:i w:val="0"/>
                    <w:sz w:val="18"/>
                    <w:highlight w:val="yellow"/>
                  </w:rPr>
                  <w:t>&lt;Below 5%&gt;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11.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12.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3.1.6.1</w:t>
            </w:r>
          </w:p>
        </w:tc>
        <w:tc>
          <w:tcPr>
            <w:tcW w:type="dxa" w:w="7920"/>
          </w:tcPr>
          <w:p>
            <w:pPr>
              <w:keepNext w:val="0"/>
              <w:spacing w:before="40" w:after="40" w:line="240" w:lineRule="auto"/>
            </w:pPr>
            <w:r>
              <w:rPr>
                <w:rFonts w:ascii="Arial" w:hAnsi="Arial" w:cs="Arial" w:eastAsia="Arial"/>
                <w:b w:val="0"/>
                <w:i w:val="0"/>
                <w:sz w:val="18"/>
              </w:rPr>
              <w:t>Awareness programmes defined, approved and carried out</w:t>
            </w:r>
          </w:p>
        </w:tc>
      </w:tr>
      <w:tr>
        <w:trPr>
          <w:cantSplit w:val="true"/>
        </w:trPr>
        <w:tc>
          <w:tcPr>
            <w:tcW w:type="dxa" w:w="1296"/>
          </w:tcPr>
          <w:p>
            <w:pPr>
              <w:keepNext w:val="0"/>
              <w:spacing w:before="40" w:after="40" w:line="240" w:lineRule="auto"/>
            </w:pPr>
            <w:r>
              <w:rPr>
                <w:rFonts w:ascii="Arial" w:hAnsi="Arial" w:cs="Arial" w:eastAsia="Arial"/>
                <w:b w:val="0"/>
                <w:i w:val="0"/>
                <w:sz w:val="18"/>
              </w:rPr>
              <w:t>3.1.6.2</w:t>
            </w:r>
          </w:p>
        </w:tc>
        <w:tc>
          <w:tcPr>
            <w:tcW w:type="dxa" w:w="7920"/>
          </w:tcPr>
          <w:p>
            <w:pPr>
              <w:keepNext w:val="0"/>
              <w:spacing w:before="40" w:after="40" w:line="240" w:lineRule="auto"/>
            </w:pPr>
            <w:r>
              <w:rPr>
                <w:rFonts w:ascii="Arial" w:hAnsi="Arial" w:cs="Arial" w:eastAsia="Arial"/>
                <w:b w:val="0"/>
                <w:i w:val="0"/>
                <w:sz w:val="18"/>
              </w:rPr>
              <w:t>For staff, third parties and customers</w:t>
            </w:r>
          </w:p>
        </w:tc>
      </w:tr>
      <w:tr>
        <w:trPr>
          <w:cantSplit w:val="true"/>
        </w:trPr>
        <w:tc>
          <w:tcPr>
            <w:tcW w:type="dxa" w:w="1296"/>
          </w:tcPr>
          <w:p>
            <w:pPr>
              <w:keepNext w:val="0"/>
              <w:spacing w:before="40" w:after="40" w:line="240" w:lineRule="auto"/>
            </w:pPr>
            <w:r>
              <w:rPr>
                <w:rFonts w:ascii="Arial" w:hAnsi="Arial" w:cs="Arial" w:eastAsia="Arial"/>
                <w:b w:val="0"/>
                <w:i w:val="0"/>
                <w:sz w:val="18"/>
              </w:rPr>
              <w:t>3.1.6.3</w:t>
            </w:r>
          </w:p>
        </w:tc>
        <w:tc>
          <w:tcPr>
            <w:tcW w:type="dxa" w:w="7920"/>
          </w:tcPr>
          <w:p>
            <w:pPr>
              <w:keepNext w:val="0"/>
              <w:spacing w:before="40" w:after="40" w:line="240" w:lineRule="auto"/>
            </w:pPr>
            <w:r>
              <w:rPr>
                <w:rFonts w:ascii="Arial" w:hAnsi="Arial" w:cs="Arial" w:eastAsia="Arial"/>
                <w:b w:val="0"/>
                <w:i w:val="0"/>
                <w:sz w:val="18"/>
              </w:rPr>
              <w:t>Tailored to each audience, through several channels</w:t>
            </w:r>
          </w:p>
        </w:tc>
      </w:tr>
      <w:tr>
        <w:trPr>
          <w:cantSplit w:val="true"/>
        </w:trPr>
        <w:tc>
          <w:tcPr>
            <w:tcW w:type="dxa" w:w="1296"/>
          </w:tcPr>
          <w:p>
            <w:pPr>
              <w:keepNext w:val="0"/>
              <w:spacing w:before="40" w:after="40" w:line="240" w:lineRule="auto"/>
            </w:pPr>
            <w:r>
              <w:rPr>
                <w:rFonts w:ascii="Arial" w:hAnsi="Arial" w:cs="Arial" w:eastAsia="Arial"/>
                <w:b w:val="0"/>
                <w:i w:val="0"/>
                <w:sz w:val="18"/>
              </w:rPr>
              <w:t>3.1.6.4</w:t>
            </w:r>
          </w:p>
        </w:tc>
        <w:tc>
          <w:tcPr>
            <w:tcW w:type="dxa" w:w="7920"/>
          </w:tcPr>
          <w:p>
            <w:pPr>
              <w:keepNext w:val="0"/>
              <w:spacing w:before="40" w:after="40" w:line="240" w:lineRule="auto"/>
            </w:pPr>
            <w:r>
              <w:rPr>
                <w:rFonts w:ascii="Arial" w:hAnsi="Arial" w:cs="Arial" w:eastAsia="Arial"/>
                <w:b w:val="0"/>
                <w:i w:val="0"/>
                <w:sz w:val="18"/>
              </w:rPr>
              <w:t>Periodic and throughout the year</w:t>
            </w:r>
          </w:p>
        </w:tc>
      </w:tr>
      <w:tr>
        <w:trPr>
          <w:cantSplit w:val="true"/>
        </w:trPr>
        <w:tc>
          <w:tcPr>
            <w:tcW w:type="dxa" w:w="1296"/>
          </w:tcPr>
          <w:p>
            <w:pPr>
              <w:keepNext w:val="0"/>
              <w:spacing w:before="40" w:after="40" w:line="240" w:lineRule="auto"/>
            </w:pPr>
            <w:r>
              <w:rPr>
                <w:rFonts w:ascii="Arial" w:hAnsi="Arial" w:cs="Arial" w:eastAsia="Arial"/>
                <w:b w:val="0"/>
                <w:i w:val="0"/>
                <w:sz w:val="18"/>
              </w:rPr>
              <w:t>3.1.6.5</w:t>
            </w:r>
          </w:p>
        </w:tc>
        <w:tc>
          <w:tcPr>
            <w:tcW w:type="dxa" w:w="7920"/>
          </w:tcPr>
          <w:p>
            <w:pPr>
              <w:keepNext w:val="0"/>
              <w:spacing w:before="40" w:after="40" w:line="240" w:lineRule="auto"/>
            </w:pPr>
            <w:r>
              <w:rPr>
                <w:rFonts w:ascii="Arial" w:hAnsi="Arial" w:cs="Arial" w:eastAsia="Arial"/>
                <w:b w:val="0"/>
                <w:i w:val="0"/>
                <w:sz w:val="18"/>
              </w:rPr>
              <w:t>Minimum content: measures, responsibilities, new threats</w:t>
            </w:r>
          </w:p>
        </w:tc>
      </w:tr>
      <w:tr>
        <w:trPr>
          <w:cantSplit w:val="true"/>
        </w:trPr>
        <w:tc>
          <w:tcPr>
            <w:tcW w:type="dxa" w:w="1296"/>
          </w:tcPr>
          <w:p>
            <w:pPr>
              <w:keepNext w:val="0"/>
              <w:spacing w:before="40" w:after="40" w:line="240" w:lineRule="auto"/>
            </w:pPr>
            <w:r>
              <w:rPr>
                <w:rFonts w:ascii="Arial" w:hAnsi="Arial" w:cs="Arial" w:eastAsia="Arial"/>
                <w:b w:val="0"/>
                <w:i w:val="0"/>
                <w:sz w:val="18"/>
              </w:rPr>
              <w:t>3.1.6.6</w:t>
            </w:r>
          </w:p>
        </w:tc>
        <w:tc>
          <w:tcPr>
            <w:tcW w:type="dxa" w:w="7920"/>
          </w:tcPr>
          <w:p>
            <w:pPr>
              <w:keepNext w:val="0"/>
              <w:spacing w:before="40" w:after="40" w:line="240" w:lineRule="auto"/>
            </w:pPr>
            <w:r>
              <w:rPr>
                <w:rFonts w:ascii="Arial" w:hAnsi="Arial" w:cs="Arial" w:eastAsia="Arial"/>
                <w:b w:val="0"/>
                <w:i w:val="0"/>
                <w:sz w:val="18"/>
              </w:rPr>
              <w:t>Evaluated for effectiveness</w:t>
            </w:r>
          </w:p>
        </w:tc>
      </w:tr>
      <w:tr>
        <w:trPr>
          <w:cantSplit w:val="true"/>
        </w:trPr>
        <w:tc>
          <w:tcPr>
            <w:tcW w:type="dxa" w:w="1296"/>
          </w:tcPr>
          <w:p>
            <w:pPr>
              <w:keepNext w:val="0"/>
              <w:spacing w:before="40" w:after="40" w:line="240" w:lineRule="auto"/>
            </w:pPr>
            <w:r>
              <w:rPr>
                <w:rFonts w:ascii="Arial" w:hAnsi="Arial" w:cs="Arial" w:eastAsia="Arial"/>
                <w:b w:val="0"/>
                <w:i w:val="0"/>
                <w:sz w:val="18"/>
              </w:rPr>
              <w:t>3.1.6.7</w:t>
            </w:r>
          </w:p>
        </w:tc>
        <w:tc>
          <w:tcPr>
            <w:tcW w:type="dxa" w:w="7920"/>
          </w:tcPr>
          <w:p>
            <w:pPr>
              <w:keepNext w:val="0"/>
              <w:spacing w:before="40" w:after="40" w:line="240" w:lineRule="auto"/>
            </w:pPr>
            <w:r>
              <w:rPr>
                <w:rFonts w:ascii="Arial" w:hAnsi="Arial" w:cs="Arial" w:eastAsia="Arial"/>
                <w:b w:val="0"/>
                <w:i w:val="0"/>
                <w:sz w:val="18"/>
              </w:rPr>
              <w:t>Customer awareness with suggested protections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Awareness Programme</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Awareness Programme</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