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Training Plan</w:t>
      </w:r>
    </w:p>
    <w:p>
      <w:pPr>
        <w:keepNext w:val="0"/>
        <w:spacing w:before="0" w:after="200" w:line="240" w:lineRule="auto"/>
      </w:pPr>
      <w:r>
        <w:rPr>
          <w:rFonts w:ascii="Arial" w:hAnsi="Arial" w:cs="Arial" w:eastAsia="Arial"/>
          <w:b w:val="0"/>
          <w:i w:val="0"/>
          <w:color w:val="5B6678"/>
          <w:sz w:val="21"/>
        </w:rPr>
        <w:t>What training each group of people needs, how it is recorded and how it is checked.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SAMA-07</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is the cyber security training plan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It makes sure staff have the skills and knowledge to operate the organisation's systems securely, and that people in key roles receive the specialist training their work needs.</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All staff, and in particular the groups named below.</w:t>
      </w:r>
    </w:p>
    <w:p>
      <w:pPr>
        <w:keepNext/>
        <w:spacing w:before="280" w:after="120" w:line="264" w:lineRule="auto"/>
      </w:pPr>
      <w:r>
        <w:rPr>
          <w:rFonts w:ascii="Arial" w:hAnsi="Arial" w:cs="Arial" w:eastAsia="Arial"/>
          <w:b/>
          <w:i w:val="0"/>
          <w:color w:val="1B253B"/>
          <w:sz w:val="28"/>
        </w:rPr>
        <w:t>3. Training by role</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2448"/>
            <w:shd w:val="clear" w:color="auto" w:fill="DCE6F5"/>
          </w:tcPr>
          <w:p>
            <w:pPr>
              <w:keepNext w:val="0"/>
              <w:spacing w:before="40" w:after="40" w:line="240" w:lineRule="auto"/>
            </w:pPr>
            <w:r>
              <w:rPr>
                <w:rFonts w:ascii="Arial" w:hAnsi="Arial" w:cs="Arial" w:eastAsia="Arial"/>
                <w:b/>
                <w:i w:val="0"/>
                <w:color w:val="1B253B"/>
                <w:sz w:val="18"/>
              </w:rPr>
              <w:t>Group</w:t>
            </w:r>
          </w:p>
        </w:tc>
        <w:tc>
          <w:tcPr>
            <w:tcW w:type="dxa" w:w="4896"/>
            <w:shd w:val="clear" w:color="auto" w:fill="DCE6F5"/>
          </w:tcPr>
          <w:p>
            <w:pPr>
              <w:keepNext w:val="0"/>
              <w:spacing w:before="40" w:after="40" w:line="240" w:lineRule="auto"/>
            </w:pPr>
            <w:r>
              <w:rPr>
                <w:rFonts w:ascii="Arial" w:hAnsi="Arial" w:cs="Arial" w:eastAsia="Arial"/>
                <w:b/>
                <w:i w:val="0"/>
                <w:color w:val="1B253B"/>
                <w:sz w:val="18"/>
              </w:rPr>
              <w:t>Training they need</w:t>
            </w:r>
          </w:p>
        </w:tc>
        <w:tc>
          <w:tcPr>
            <w:tcW w:type="dxa" w:w="1872"/>
            <w:shd w:val="clear" w:color="auto" w:fill="DCE6F5"/>
          </w:tcPr>
          <w:p>
            <w:pPr>
              <w:keepNext w:val="0"/>
              <w:spacing w:before="40" w:after="40" w:line="240" w:lineRule="auto"/>
            </w:pPr>
            <w:r>
              <w:rPr>
                <w:rFonts w:ascii="Arial" w:hAnsi="Arial" w:cs="Arial" w:eastAsia="Arial"/>
                <w:b/>
                <w:i w:val="0"/>
                <w:color w:val="1B253B"/>
                <w:sz w:val="18"/>
              </w:rPr>
              <w:t>How often</w:t>
            </w:r>
          </w:p>
        </w:tc>
      </w:tr>
      <w:tr>
        <w:trPr>
          <w:cantSplit w:val="true"/>
        </w:trPr>
        <w:tc>
          <w:tcPr>
            <w:tcW w:type="dxa" w:w="2448"/>
          </w:tcPr>
          <w:p>
            <w:pPr>
              <w:keepNext w:val="0"/>
              <w:spacing w:before="40" w:after="40" w:line="240" w:lineRule="auto"/>
            </w:pPr>
            <w:r>
              <w:rPr>
                <w:rFonts w:ascii="Arial" w:hAnsi="Arial" w:cs="Arial" w:eastAsia="Arial"/>
                <w:b w:val="0"/>
                <w:i w:val="0"/>
                <w:sz w:val="18"/>
              </w:rPr>
              <w:t>Everyone</w:t>
            </w:r>
          </w:p>
        </w:tc>
        <w:tc>
          <w:tcPr>
            <w:tcW w:type="dxa" w:w="4896"/>
          </w:tcPr>
          <w:p>
            <w:pPr>
              <w:keepNext w:val="0"/>
              <w:spacing w:before="40" w:after="40" w:line="240" w:lineRule="auto"/>
            </w:pPr>
            <w:r>
              <w:rPr>
                <w:rFonts w:ascii="Arial" w:hAnsi="Arial" w:cs="Arial" w:eastAsia="Arial"/>
                <w:b w:val="0"/>
                <w:i w:val="0"/>
                <w:sz w:val="18"/>
              </w:rPr>
              <w:t>How to operate the organisation's systems securely: the policy, passwords, phishing, data handling, reporting.</w:t>
            </w:r>
          </w:p>
        </w:tc>
        <w:tc>
          <w:tcPr>
            <w:tcW w:type="dxa" w:w="1872"/>
          </w:tcPr>
          <w:p>
            <w:pPr>
              <w:keepNext w:val="0"/>
              <w:spacing w:before="40" w:after="40" w:line="240" w:lineRule="auto"/>
            </w:pPr>
            <w:r>
              <w:rPr>
                <w:rFonts w:ascii="Arial" w:hAnsi="Arial" w:cs="Arial" w:eastAsia="Arial"/>
                <w:b w:val="0"/>
                <w:i w:val="0"/>
                <w:sz w:val="18"/>
              </w:rPr>
              <w:t xml:space="preserve">At joining, then </w:t>
            </w:r>
            <w:sdt>
              <w:sdtPr>
                <w:alias w:val="every year"/>
                <w:tag w:val="07.all_freq"/>
              </w:sdtPr>
              <w:sdtContent>
                <w:r>
                  <w:rPr>
                    <w:rFonts w:ascii="Arial" w:hAnsi="Arial" w:cs="Arial" w:eastAsia="Arial"/>
                    <w:b w:val="0"/>
                    <w:i w:val="0"/>
                    <w:sz w:val="18"/>
                    <w:highlight w:val="yellow"/>
                  </w:rPr>
                  <w:t>&lt;every year&gt;</w:t>
                </w:r>
              </w:sdtContent>
            </w:sdt>
          </w:p>
        </w:tc>
      </w:tr>
      <w:tr>
        <w:trPr>
          <w:cantSplit w:val="true"/>
        </w:trPr>
        <w:tc>
          <w:tcPr>
            <w:tcW w:type="dxa" w:w="2448"/>
          </w:tcPr>
          <w:p>
            <w:pPr>
              <w:keepNext w:val="0"/>
              <w:spacing w:before="40" w:after="40" w:line="240" w:lineRule="auto"/>
            </w:pPr>
            <w:r>
              <w:rPr>
                <w:rFonts w:ascii="Arial" w:hAnsi="Arial" w:cs="Arial" w:eastAsia="Arial"/>
                <w:b w:val="0"/>
                <w:i w:val="0"/>
                <w:sz w:val="18"/>
              </w:rPr>
              <w:t>People in key roles</w:t>
            </w:r>
          </w:p>
        </w:tc>
        <w:tc>
          <w:tcPr>
            <w:tcW w:type="dxa" w:w="4896"/>
          </w:tcPr>
          <w:p>
            <w:pPr>
              <w:keepNext w:val="0"/>
              <w:spacing w:before="40" w:after="40" w:line="240" w:lineRule="auto"/>
            </w:pPr>
            <w:r>
              <w:rPr>
                <w:rFonts w:ascii="Arial" w:hAnsi="Arial" w:cs="Arial" w:eastAsia="Arial"/>
                <w:b w:val="0"/>
                <w:i w:val="0"/>
                <w:sz w:val="18"/>
              </w:rPr>
              <w:t>The security responsibilities of the role, and the controls the role applies.</w:t>
            </w:r>
          </w:p>
        </w:tc>
        <w:tc>
          <w:tcPr>
            <w:tcW w:type="dxa" w:w="1872"/>
          </w:tcPr>
          <w:p>
            <w:pPr>
              <w:keepNext w:val="0"/>
              <w:spacing w:before="40" w:after="40" w:line="240" w:lineRule="auto"/>
            </w:pPr>
            <w:sdt>
              <w:sdtPr>
                <w:alias w:val="Every year"/>
                <w:tag w:val="07.key_freq"/>
              </w:sdtPr>
              <w:sdtContent>
                <w:r>
                  <w:rPr>
                    <w:rFonts w:ascii="Arial" w:hAnsi="Arial" w:cs="Arial" w:eastAsia="Arial"/>
                    <w:b w:val="0"/>
                    <w:i w:val="0"/>
                    <w:sz w:val="18"/>
                    <w:highlight w:val="yellow"/>
                  </w:rPr>
                  <w:t>&lt;Every year&gt;</w:t>
                </w:r>
              </w:sdtContent>
            </w:sdt>
          </w:p>
        </w:tc>
      </w:tr>
      <w:tr>
        <w:trPr>
          <w:cantSplit w:val="true"/>
        </w:trPr>
        <w:tc>
          <w:tcPr>
            <w:tcW w:type="dxa" w:w="2448"/>
          </w:tcPr>
          <w:p>
            <w:pPr>
              <w:keepNext w:val="0"/>
              <w:spacing w:before="40" w:after="40" w:line="240" w:lineRule="auto"/>
            </w:pPr>
            <w:r>
              <w:rPr>
                <w:rFonts w:ascii="Arial" w:hAnsi="Arial" w:cs="Arial" w:eastAsia="Arial"/>
                <w:b w:val="0"/>
                <w:i w:val="0"/>
                <w:sz w:val="18"/>
              </w:rPr>
              <w:t>The cyber security team</w:t>
            </w:r>
          </w:p>
        </w:tc>
        <w:tc>
          <w:tcPr>
            <w:tcW w:type="dxa" w:w="4896"/>
          </w:tcPr>
          <w:p>
            <w:pPr>
              <w:keepNext w:val="0"/>
              <w:spacing w:before="40" w:after="40" w:line="240" w:lineRule="auto"/>
            </w:pPr>
            <w:sdt>
              <w:sdtPr>
                <w:alias w:val="Technical and professional training, for example security op"/>
                <w:tag w:val="07.team_training"/>
              </w:sdtPr>
              <w:sdtContent>
                <w:r>
                  <w:rPr>
                    <w:rFonts w:ascii="Arial" w:hAnsi="Arial" w:cs="Arial" w:eastAsia="Arial"/>
                    <w:b w:val="0"/>
                    <w:i w:val="0"/>
                    <w:sz w:val="18"/>
                    <w:highlight w:val="yellow"/>
                  </w:rPr>
                  <w:t>&lt;Technical and professional training, for example security operations, incident response and forensics, and recognised certifications&gt;</w:t>
                </w:r>
              </w:sdtContent>
            </w:sdt>
          </w:p>
        </w:tc>
        <w:tc>
          <w:tcPr>
            <w:tcW w:type="dxa" w:w="1872"/>
          </w:tcPr>
          <w:p>
            <w:pPr>
              <w:keepNext w:val="0"/>
              <w:spacing w:before="40" w:after="40" w:line="240" w:lineRule="auto"/>
            </w:pPr>
            <w:sdt>
              <w:sdtPr>
                <w:alias w:val="Every year, and when tools change"/>
                <w:tag w:val="07.team_freq"/>
              </w:sdtPr>
              <w:sdtContent>
                <w:r>
                  <w:rPr>
                    <w:rFonts w:ascii="Arial" w:hAnsi="Arial" w:cs="Arial" w:eastAsia="Arial"/>
                    <w:b w:val="0"/>
                    <w:i w:val="0"/>
                    <w:sz w:val="18"/>
                    <w:highlight w:val="yellow"/>
                  </w:rPr>
                  <w:t>&lt;Every year, and when tools change&gt;</w:t>
                </w:r>
              </w:sdtContent>
            </w:sdt>
          </w:p>
        </w:tc>
      </w:tr>
      <w:tr>
        <w:trPr>
          <w:cantSplit w:val="true"/>
        </w:trPr>
        <w:tc>
          <w:tcPr>
            <w:tcW w:type="dxa" w:w="2448"/>
          </w:tcPr>
          <w:p>
            <w:pPr>
              <w:keepNext w:val="0"/>
              <w:spacing w:before="40" w:after="40" w:line="240" w:lineRule="auto"/>
            </w:pPr>
            <w:r>
              <w:rPr>
                <w:rFonts w:ascii="Arial" w:hAnsi="Arial" w:cs="Arial" w:eastAsia="Arial"/>
                <w:b w:val="0"/>
                <w:i w:val="0"/>
                <w:sz w:val="18"/>
              </w:rPr>
              <w:t>People who develop and technically maintain information assets</w:t>
            </w:r>
          </w:p>
        </w:tc>
        <w:tc>
          <w:tcPr>
            <w:tcW w:type="dxa" w:w="4896"/>
          </w:tcPr>
          <w:p>
            <w:pPr>
              <w:keepNext w:val="0"/>
              <w:spacing w:before="40" w:after="40" w:line="240" w:lineRule="auto"/>
            </w:pPr>
            <w:sdt>
              <w:sdtPr>
                <w:alias w:val="Secure coding, secure configuration, vulnerability handling"/>
                <w:tag w:val="07.dev_training"/>
              </w:sdtPr>
              <w:sdtContent>
                <w:r>
                  <w:rPr>
                    <w:rFonts w:ascii="Arial" w:hAnsi="Arial" w:cs="Arial" w:eastAsia="Arial"/>
                    <w:b w:val="0"/>
                    <w:i w:val="0"/>
                    <w:sz w:val="18"/>
                    <w:highlight w:val="yellow"/>
                  </w:rPr>
                  <w:t>&lt;Secure coding, secure configuration, vulnerability handling&gt;</w:t>
                </w:r>
              </w:sdtContent>
            </w:sdt>
          </w:p>
        </w:tc>
        <w:tc>
          <w:tcPr>
            <w:tcW w:type="dxa" w:w="1872"/>
          </w:tcPr>
          <w:p>
            <w:pPr>
              <w:keepNext w:val="0"/>
              <w:spacing w:before="40" w:after="40" w:line="240" w:lineRule="auto"/>
            </w:pPr>
            <w:sdt>
              <w:sdtPr>
                <w:alias w:val="Every year"/>
                <w:tag w:val="07.dev_freq"/>
              </w:sdtPr>
              <w:sdtContent>
                <w:r>
                  <w:rPr>
                    <w:rFonts w:ascii="Arial" w:hAnsi="Arial" w:cs="Arial" w:eastAsia="Arial"/>
                    <w:b w:val="0"/>
                    <w:i w:val="0"/>
                    <w:sz w:val="18"/>
                    <w:highlight w:val="yellow"/>
                  </w:rPr>
                  <w:t>&lt;Every year&gt;</w:t>
                </w:r>
              </w:sdtContent>
            </w:sdt>
          </w:p>
        </w:tc>
      </w:tr>
      <w:tr>
        <w:trPr>
          <w:cantSplit w:val="true"/>
        </w:trPr>
        <w:tc>
          <w:tcPr>
            <w:tcW w:type="dxa" w:w="2448"/>
          </w:tcPr>
          <w:p>
            <w:pPr>
              <w:keepNext w:val="0"/>
              <w:spacing w:before="40" w:after="40" w:line="240" w:lineRule="auto"/>
            </w:pPr>
            <w:r>
              <w:rPr>
                <w:rFonts w:ascii="Arial" w:hAnsi="Arial" w:cs="Arial" w:eastAsia="Arial"/>
                <w:b w:val="0"/>
                <w:i w:val="0"/>
                <w:sz w:val="18"/>
              </w:rPr>
              <w:t>People involved in risk assessments</w:t>
            </w:r>
          </w:p>
        </w:tc>
        <w:tc>
          <w:tcPr>
            <w:tcW w:type="dxa" w:w="4896"/>
          </w:tcPr>
          <w:p>
            <w:pPr>
              <w:keepNext w:val="0"/>
              <w:spacing w:before="40" w:after="40" w:line="240" w:lineRule="auto"/>
            </w:pPr>
            <w:sdt>
              <w:sdtPr>
                <w:alias w:val="The risk method, information asset classification and how to"/>
                <w:tag w:val="07.risk_training"/>
              </w:sdtPr>
              <w:sdtContent>
                <w:r>
                  <w:rPr>
                    <w:rFonts w:ascii="Arial" w:hAnsi="Arial" w:cs="Arial" w:eastAsia="Arial"/>
                    <w:b w:val="0"/>
                    <w:i w:val="0"/>
                    <w:sz w:val="18"/>
                    <w:highlight w:val="yellow"/>
                  </w:rPr>
                  <w:t>&lt;The risk method, information asset classification and how to rate impact and likelihood&gt;</w:t>
                </w:r>
              </w:sdtContent>
            </w:sdt>
          </w:p>
        </w:tc>
        <w:tc>
          <w:tcPr>
            <w:tcW w:type="dxa" w:w="1872"/>
          </w:tcPr>
          <w:p>
            <w:pPr>
              <w:keepNext w:val="0"/>
              <w:spacing w:before="40" w:after="40" w:line="240" w:lineRule="auto"/>
            </w:pPr>
            <w:sdt>
              <w:sdtPr>
                <w:alias w:val="At joining the role, then every two years"/>
                <w:tag w:val="07.risk_freq"/>
              </w:sdtPr>
              <w:sdtContent>
                <w:r>
                  <w:rPr>
                    <w:rFonts w:ascii="Arial" w:hAnsi="Arial" w:cs="Arial" w:eastAsia="Arial"/>
                    <w:b w:val="0"/>
                    <w:i w:val="0"/>
                    <w:sz w:val="18"/>
                    <w:highlight w:val="yellow"/>
                  </w:rPr>
                  <w:t>&lt;At joining the role, then every two years&gt;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Who plans and who pays</w:t>
      </w:r>
    </w:p>
    <w:p>
      <w:pPr>
        <w:pStyle w:val="ListBullet"/>
        <w:keepNext w:val="0"/>
        <w:spacing w:before="0" w:after="60" w:line="276" w:lineRule="auto"/>
        <w:ind w:left="432" w:hanging="288"/>
      </w:pPr>
      <w:r>
        <w:rPr>
          <w:rFonts w:ascii="Arial" w:hAnsi="Arial" w:cs="Arial" w:eastAsia="Arial"/>
          <w:b w:val="0"/>
          <w:i w:val="0"/>
          <w:sz w:val="21"/>
        </w:rPr>
        <w:t>The CISO prepares the plan each year with HR, based on the roles and on what the risk assessment shows is needed.</w:t>
      </w:r>
    </w:p>
    <w:p>
      <w:pPr>
        <w:pStyle w:val="ListBullet"/>
        <w:keepNext w:val="0"/>
        <w:spacing w:before="0" w:after="60" w:line="276" w:lineRule="auto"/>
        <w:ind w:left="432" w:hanging="288"/>
      </w:pPr>
      <w:r>
        <w:rPr>
          <w:rFonts w:ascii="Arial" w:hAnsi="Arial" w:cs="Arial" w:eastAsia="Arial"/>
          <w:b w:val="0"/>
          <w:i w:val="0"/>
          <w:sz w:val="21"/>
        </w:rPr>
        <w:t>Management approves the plan and the budget.</w:t>
      </w:r>
    </w:p>
    <w:p>
      <w:pPr>
        <w:pStyle w:val="ListBullet"/>
        <w:keepNext w:val="0"/>
        <w:spacing w:before="0" w:after="60" w:line="276" w:lineRule="auto"/>
        <w:ind w:left="432" w:hanging="288"/>
      </w:pPr>
      <w:r>
        <w:rPr>
          <w:rFonts w:ascii="Arial" w:hAnsi="Arial" w:cs="Arial" w:eastAsia="Arial"/>
          <w:b w:val="0"/>
          <w:i w:val="0"/>
          <w:sz w:val="21"/>
        </w:rPr>
        <w:t>Managers release people to attend, and HR keeps the records.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Training records</w:t>
      </w:r>
    </w:p>
    <w:p>
      <w:pPr>
        <w:keepNext w:val="0"/>
        <w:spacing w:before="0" w:after="120" w:line="276" w:lineRule="auto"/>
      </w:pPr>
      <w:r>
        <w:rPr>
          <w:rFonts w:ascii="Arial" w:hAnsi="Arial" w:cs="Arial" w:eastAsia="Arial"/>
          <w:b w:val="0"/>
          <w:i w:val="0"/>
          <w:sz w:val="21"/>
        </w:rPr>
        <w:t>The register below is kept up to date from the training records in the product. It shows who was trained, in what, when, and when it is next due.</w:t>
      </w:r>
    </w:p>
    <w:tbl>
      <w:tblPr>
        <w:tblStyle w:val="TableGrid"/>
        <w:tblW w:type="auto" w:w="0"/>
        <w:jc w:val="center"/>
        <w:tblLayout w:type="fixed"/>
        <w:tblLook w:firstColumn="1" w:firstRow="1" w:lastColumn="0" w:lastRow="0" w:noHBand="0" w:noVBand="1" w:val="04A0"/>
        <w:tblCaption w:val="source:training"/>
      </w:tblPr>
      <w:tblGrid>
        <w:gridCol w:w="1529"/>
        <w:gridCol w:w="1529"/>
        <w:gridCol w:w="1529"/>
        <w:gridCol w:w="1529"/>
        <w:gridCol w:w="1529"/>
        <w:gridCol w:w="1529"/>
      </w:tblGrid>
      <w:tr>
        <w:trPr>
          <w:tblHeader w:val="true"/>
        </w:trPr>
        <w:tc>
          <w:tcPr>
            <w:tcW w:type="dxa" w:w="2016"/>
            <w:shd w:val="clear" w:color="auto" w:fill="DCE6F5"/>
          </w:tcPr>
          <w:p>
            <w:pPr>
              <w:keepNext w:val="0"/>
              <w:spacing w:before="40" w:after="40" w:line="240" w:lineRule="auto"/>
            </w:pPr>
            <w:r>
              <w:rPr>
                <w:rFonts w:ascii="Arial" w:hAnsi="Arial" w:cs="Arial" w:eastAsia="Arial"/>
                <w:b/>
                <w:i w:val="0"/>
                <w:color w:val="1B253B"/>
                <w:sz w:val="18"/>
              </w:rPr>
              <w:t>Person</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Course</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Audience</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Completed</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Next due</w:t>
            </w:r>
          </w:p>
        </w:tc>
        <w:tc>
          <w:tcPr>
            <w:tcW w:type="dxa" w:w="864"/>
            <w:shd w:val="clear" w:color="auto" w:fill="DCE6F5"/>
          </w:tcPr>
          <w:p>
            <w:pPr>
              <w:keepNext w:val="0"/>
              <w:spacing w:before="40" w:after="40" w:line="240" w:lineRule="auto"/>
            </w:pPr>
            <w:r>
              <w:rPr>
                <w:rFonts w:ascii="Arial" w:hAnsi="Arial" w:cs="Arial" w:eastAsia="Arial"/>
                <w:b/>
                <w:i w:val="0"/>
                <w:color w:val="1B253B"/>
                <w:sz w:val="18"/>
              </w:rPr>
              <w:t>Result</w:t>
            </w:r>
          </w:p>
        </w:tc>
      </w:tr>
      <w:tr>
        <w:trPr>
          <w:cantSplit w:val="true"/>
        </w:trPr>
        <w:tc>
          <w:tcPr>
            <w:tcW w:type="dxa" w:w="2016"/>
          </w:tcPr>
          <w:p>
            <w:pPr>
              <w:keepNext w:val="0"/>
              <w:spacing w:before="40" w:after="40" w:line="240" w:lineRule="auto"/>
            </w:pPr>
            <w:r>
              <w:rPr>
                <w:rFonts w:ascii="Arial" w:hAnsi="Arial" w:cs="Arial" w:eastAsia="Arial"/>
                <w:b w:val="0"/>
                <w:i w:val="0"/>
                <w:sz w:val="18"/>
                <w:highlight w:val="yellow"/>
              </w:rPr>
              <w:t>&lt;Person&gt;</w:t>
            </w:r>
          </w:p>
        </w:tc>
        <w:tc>
          <w:tcPr>
            <w:tcW w:type="dxa" w:w="2592"/>
          </w:tcPr>
          <w:p>
            <w:pPr>
              <w:keepNext w:val="0"/>
              <w:spacing w:before="40" w:after="40" w:line="240" w:lineRule="auto"/>
            </w:pPr>
            <w:r>
              <w:rPr>
                <w:rFonts w:ascii="Arial" w:hAnsi="Arial" w:cs="Arial" w:eastAsia="Arial"/>
                <w:b w:val="0"/>
                <w:i w:val="0"/>
                <w:sz w:val="18"/>
                <w:highlight w:val="yellow"/>
              </w:rPr>
              <w:t>&lt;Course&gt;</w:t>
            </w:r>
          </w:p>
        </w:tc>
        <w:tc>
          <w:tcPr>
            <w:tcW w:type="dxa" w:w="1440"/>
          </w:tcPr>
          <w:p>
            <w:pPr>
              <w:keepNext w:val="0"/>
              <w:spacing w:before="40" w:after="40" w:line="240" w:lineRule="auto"/>
            </w:pPr>
            <w:r>
              <w:rPr>
                <w:rFonts w:ascii="Arial" w:hAnsi="Arial" w:cs="Arial" w:eastAsia="Arial"/>
                <w:b w:val="0"/>
                <w:i w:val="0"/>
                <w:sz w:val="18"/>
                <w:highlight w:val="yellow"/>
              </w:rPr>
              <w:t>&lt;Audience&gt;</w:t>
            </w:r>
          </w:p>
        </w:tc>
        <w:tc>
          <w:tcPr>
            <w:tcW w:type="dxa" w:w="1152"/>
          </w:tcPr>
          <w:p>
            <w:pPr>
              <w:keepNext w:val="0"/>
              <w:spacing w:before="40" w:after="40" w:line="240" w:lineRule="auto"/>
            </w:pPr>
            <w:r>
              <w:rPr>
                <w:rFonts w:ascii="Arial" w:hAnsi="Arial" w:cs="Arial" w:eastAsia="Arial"/>
                <w:b w:val="0"/>
                <w:i w:val="0"/>
                <w:sz w:val="18"/>
                <w:highlight w:val="yellow"/>
              </w:rPr>
              <w:t>&lt;Date&gt;</w:t>
            </w:r>
          </w:p>
        </w:tc>
        <w:tc>
          <w:tcPr>
            <w:tcW w:type="dxa" w:w="1152"/>
          </w:tcPr>
          <w:p>
            <w:pPr>
              <w:keepNext w:val="0"/>
              <w:spacing w:before="40" w:after="40" w:line="240" w:lineRule="auto"/>
            </w:pPr>
            <w:r>
              <w:rPr>
                <w:rFonts w:ascii="Arial" w:hAnsi="Arial" w:cs="Arial" w:eastAsia="Arial"/>
                <w:b w:val="0"/>
                <w:i w:val="0"/>
                <w:sz w:val="18"/>
                <w:highlight w:val="yellow"/>
              </w:rPr>
              <w:t>&lt;Date&gt;</w:t>
            </w:r>
          </w:p>
        </w:tc>
        <w:tc>
          <w:tcPr>
            <w:tcW w:type="dxa" w:w="864"/>
          </w:tcPr>
          <w:p>
            <w:pPr>
              <w:keepNext w:val="0"/>
              <w:spacing w:before="40" w:after="40" w:line="240" w:lineRule="auto"/>
            </w:pPr>
            <w:r>
              <w:rPr>
                <w:rFonts w:ascii="Arial" w:hAnsi="Arial" w:cs="Arial" w:eastAsia="Arial"/>
                <w:b w:val="0"/>
                <w:i w:val="0"/>
                <w:sz w:val="18"/>
                <w:highlight w:val="yellow"/>
              </w:rPr>
              <w:t>&lt;Result&gt;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Checking that it works</w:t>
      </w:r>
    </w:p>
    <w:p>
      <w:pPr>
        <w:keepNext w:val="0"/>
        <w:spacing w:before="0" w:after="120" w:line="276" w:lineRule="auto"/>
      </w:pPr>
      <w:r>
        <w:rPr>
          <w:rFonts w:ascii="Arial" w:hAnsi="Arial" w:cs="Arial" w:eastAsia="Arial"/>
          <w:b w:val="0"/>
          <w:i w:val="0"/>
          <w:sz w:val="21"/>
        </w:rPr>
        <w:t xml:space="preserve">After each course, </w:t>
      </w:r>
      <w:sdt>
        <w:sdtPr>
          <w:alias w:val="a short test or a manager's check"/>
          <w:tag w:val="07.evaluation"/>
        </w:sdtPr>
        <w:sdtContent>
          <w:r>
            <w:rPr>
              <w:rFonts w:ascii="Arial" w:hAnsi="Arial" w:cs="Arial" w:eastAsia="Arial"/>
              <w:b w:val="0"/>
              <w:i w:val="0"/>
              <w:sz w:val="21"/>
              <w:highlight w:val="yellow"/>
            </w:rPr>
            <w:t>&lt;a short test or a manager's check&gt;</w:t>
          </w:r>
        </w:sdtContent>
      </w:sdt>
      <w:r>
        <w:rPr>
          <w:rFonts w:ascii="Arial" w:hAnsi="Arial" w:cs="Arial" w:eastAsia="Arial"/>
          <w:b w:val="0"/>
          <w:i w:val="0"/>
          <w:sz w:val="21"/>
        </w:rPr>
        <w:t xml:space="preserve"> shows whether the skills were gained. The CISO reports completion and results to the committee </w:t>
      </w:r>
      <w:sdt>
        <w:sdtPr>
          <w:alias w:val="How often indicators are reported to the committee"/>
          <w:tag w:val="kpi_frequency"/>
        </w:sdtPr>
        <w:sdtContent>
          <w:r>
            <w:rPr>
              <w:rFonts w:ascii="Arial" w:hAnsi="Arial" w:cs="Arial" w:eastAsia="Arial"/>
              <w:b w:val="0"/>
              <w:i w:val="0"/>
              <w:sz w:val="21"/>
              <w:highlight w:val="yellow"/>
            </w:rPr>
            <w:t>&lt;quarterly&gt;</w:t>
          </w:r>
        </w:sdtContent>
      </w:sdt>
      <w:r>
        <w:rPr>
          <w:rFonts w:ascii="Arial" w:hAnsi="Arial" w:cs="Arial" w:eastAsia="Arial"/>
          <w:b w:val="0"/>
          <w:i w:val="0"/>
          <w:sz w:val="21"/>
        </w:rPr>
        <w:t>, and uses them to change the plan.</w:t>
      </w: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07.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Staff trained as the plan requires</w:t>
            </w:r>
          </w:p>
        </w:tc>
        <w:tc>
          <w:tcPr>
            <w:tcW w:type="dxa" w:w="2592"/>
          </w:tcPr>
          <w:p>
            <w:pPr>
              <w:keepNext w:val="0"/>
              <w:spacing w:before="40" w:after="40" w:line="240" w:lineRule="auto"/>
            </w:pPr>
            <w:sdt>
              <w:sdtPr>
                <w:alias w:val="100%"/>
                <w:tag w:val="07.t5.r0.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Cyber security team with a current professional training plan</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3.1.7.1</w:t>
            </w:r>
          </w:p>
        </w:tc>
        <w:tc>
          <w:tcPr>
            <w:tcW w:type="dxa" w:w="7920"/>
          </w:tcPr>
          <w:p>
            <w:pPr>
              <w:keepNext w:val="0"/>
              <w:spacing w:before="40" w:after="40" w:line="240" w:lineRule="auto"/>
            </w:pPr>
            <w:r>
              <w:rPr>
                <w:rFonts w:ascii="Arial" w:hAnsi="Arial" w:cs="Arial" w:eastAsia="Arial"/>
                <w:b w:val="0"/>
                <w:i w:val="0"/>
                <w:sz w:val="18"/>
              </w:rPr>
              <w:t>Specialist or security-related training by role</w:t>
            </w:r>
          </w:p>
        </w:tc>
      </w:tr>
      <w:tr>
        <w:trPr>
          <w:cantSplit w:val="true"/>
        </w:trPr>
        <w:tc>
          <w:tcPr>
            <w:tcW w:type="dxa" w:w="1296"/>
          </w:tcPr>
          <w:p>
            <w:pPr>
              <w:keepNext w:val="0"/>
              <w:spacing w:before="40" w:after="40" w:line="240" w:lineRule="auto"/>
            </w:pPr>
            <w:r>
              <w:rPr>
                <w:rFonts w:ascii="Arial" w:hAnsi="Arial" w:cs="Arial" w:eastAsia="Arial"/>
                <w:b w:val="0"/>
                <w:i w:val="0"/>
                <w:sz w:val="18"/>
              </w:rPr>
              <w:t>3.1.7.2</w:t>
            </w:r>
          </w:p>
        </w:tc>
        <w:tc>
          <w:tcPr>
            <w:tcW w:type="dxa" w:w="7920"/>
          </w:tcPr>
          <w:p>
            <w:pPr>
              <w:keepNext w:val="0"/>
              <w:spacing w:before="40" w:after="40" w:line="240" w:lineRule="auto"/>
            </w:pPr>
            <w:r>
              <w:rPr>
                <w:rFonts w:ascii="Arial" w:hAnsi="Arial" w:cs="Arial" w:eastAsia="Arial"/>
                <w:b w:val="0"/>
                <w:i w:val="0"/>
                <w:sz w:val="18"/>
              </w:rPr>
              <w:t>Staff educated to operate systems securely</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Training Plan</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Training Plan</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