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Regulatory Compliance Process and Register</w:t>
      </w:r>
    </w:p>
    <w:p>
      <w:pPr>
        <w:keepNext w:val="0"/>
        <w:spacing w:before="0" w:after="200" w:line="240" w:lineRule="auto"/>
      </w:pPr>
      <w:r>
        <w:rPr>
          <w:rFonts w:ascii="Arial" w:hAnsi="Arial" w:cs="Arial" w:eastAsia="Arial"/>
          <w:b w:val="0"/>
          <w:i w:val="0"/>
          <w:color w:val="5B6678"/>
          <w:sz w:val="21"/>
        </w:rPr>
        <w:t>How regulations and mandatory standards are found, communicated and complied with, and the register that records them.</w:t>
      </w:r>
    </w:p>
    <w:tbl>
      <w:tblPr>
        <w:tblStyle w:val="TableGrid"/>
        <w:tblW w:type="auto" w:w="0"/>
        <w:jc w:val="center"/>
        <w:tblLayout w:type="fixed"/>
        <w:tblLook w:firstColumn="1" w:firstRow="1" w:lastColumn="0" w:lastRow="0" w:noHBand="0" w:noVBand="1" w:val="04A0"/>
      </w:tblPr>
      <w:tblGrid>
        <w:gridCol w:w="7049"/>
        <w:gridCol w:w="7049"/>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SAMA-09</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2820"/>
        <w:gridCol w:w="2820"/>
        <w:gridCol w:w="2820"/>
        <w:gridCol w:w="2820"/>
        <w:gridCol w:w="2820"/>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document sets out how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xml:space="preserve"> finds out which regulations and standards affect its cyber security, makes sure the right people know, and complies with them. It also holds the register of those requirements.</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Every law, regulation, circular, contractual obligation and mandatory standard that has a cyber security implication for the organisation.</w:t>
      </w:r>
    </w:p>
    <w:p>
      <w:pPr>
        <w:keepNext/>
        <w:spacing w:before="280" w:after="120" w:line="264" w:lineRule="auto"/>
      </w:pPr>
      <w:r>
        <w:rPr>
          <w:rFonts w:ascii="Arial" w:hAnsi="Arial" w:cs="Arial" w:eastAsia="Arial"/>
          <w:b/>
          <w:i w:val="0"/>
          <w:color w:val="1B253B"/>
          <w:sz w:val="28"/>
        </w:rPr>
        <w:t>3. The process</w:t>
      </w:r>
    </w:p>
    <w:p>
      <w:pPr>
        <w:keepNext w:val="0"/>
        <w:spacing w:before="0" w:after="60" w:line="276" w:lineRule="auto"/>
        <w:ind w:left="504" w:hanging="403"/>
      </w:pPr>
      <w:r>
        <w:rPr>
          <w:rFonts w:ascii="Arial" w:hAnsi="Arial" w:cs="Arial" w:eastAsia="Arial"/>
          <w:b w:val="0"/>
          <w:i w:val="0"/>
          <w:sz w:val="21"/>
        </w:rPr>
        <w:t xml:space="preserve">1.  </w:t>
      </w:r>
      <w:r>
        <w:rPr>
          <w:rFonts w:ascii="Arial" w:hAnsi="Arial" w:cs="Arial" w:eastAsia="Arial"/>
          <w:b/>
          <w:i w:val="0"/>
          <w:sz w:val="21"/>
        </w:rPr>
        <w:t>Identify.</w:t>
      </w:r>
      <w:r>
        <w:rPr>
          <w:rFonts w:ascii="Arial" w:hAnsi="Arial" w:cs="Arial" w:eastAsia="Arial"/>
          <w:b w:val="0"/>
          <w:i w:val="0"/>
          <w:sz w:val="21"/>
        </w:rPr>
        <w:t xml:space="preserve"> The compliance function watches for new and changed requirements from SAMA and other regulators, from industry bodies, and from contracts. Sources: </w:t>
      </w:r>
      <w:sdt>
        <w:sdtPr>
          <w:alias w:val="SAMA's website and circulars, other regulators' websites, le"/>
          <w:tag w:val="09.sources"/>
        </w:sdtPr>
        <w:sdtContent>
          <w:r>
            <w:rPr>
              <w:rFonts w:ascii="Arial" w:hAnsi="Arial" w:cs="Arial" w:eastAsia="Arial"/>
              <w:b w:val="0"/>
              <w:i w:val="0"/>
              <w:sz w:val="21"/>
              <w:highlight w:val="yellow"/>
            </w:rPr>
            <w:t>&lt;SAMA's website and circulars, other regulators' websites, legal advisers, industry bulletins&gt;</w:t>
          </w:r>
        </w:sdtContent>
      </w:sdt>
      <w:r>
        <w:rPr>
          <w:rFonts w:ascii="Arial" w:hAnsi="Arial" w:cs="Arial" w:eastAsia="Arial"/>
          <w:b w:val="0"/>
          <w:i w:val="0"/>
          <w:sz w:val="21"/>
        </w:rPr>
        <w:t>.</w:t>
      </w:r>
    </w:p>
    <w:p>
      <w:pPr>
        <w:keepNext w:val="0"/>
        <w:spacing w:before="0" w:after="60" w:line="276" w:lineRule="auto"/>
        <w:ind w:left="504" w:hanging="403"/>
      </w:pPr>
      <w:r>
        <w:rPr>
          <w:rFonts w:ascii="Arial" w:hAnsi="Arial" w:cs="Arial" w:eastAsia="Arial"/>
          <w:b w:val="0"/>
          <w:i w:val="0"/>
          <w:sz w:val="21"/>
        </w:rPr>
        <w:t xml:space="preserve">2.  </w:t>
      </w:r>
      <w:r>
        <w:rPr>
          <w:rFonts w:ascii="Arial" w:hAnsi="Arial" w:cs="Arial" w:eastAsia="Arial"/>
          <w:b/>
          <w:i w:val="0"/>
          <w:sz w:val="21"/>
        </w:rPr>
        <w:t>Assess.</w:t>
      </w:r>
      <w:r>
        <w:rPr>
          <w:rFonts w:ascii="Arial" w:hAnsi="Arial" w:cs="Arial" w:eastAsia="Arial"/>
          <w:b w:val="0"/>
          <w:i w:val="0"/>
          <w:sz w:val="21"/>
        </w:rPr>
        <w:t xml:space="preserve"> Compliance and the CISO work out what each requirement means for cyber security: what must change, who is affected and by when.</w:t>
      </w:r>
    </w:p>
    <w:p>
      <w:pPr>
        <w:keepNext w:val="0"/>
        <w:spacing w:before="0" w:after="60" w:line="276" w:lineRule="auto"/>
        <w:ind w:left="504" w:hanging="403"/>
      </w:pPr>
      <w:r>
        <w:rPr>
          <w:rFonts w:ascii="Arial" w:hAnsi="Arial" w:cs="Arial" w:eastAsia="Arial"/>
          <w:b w:val="0"/>
          <w:i w:val="0"/>
          <w:sz w:val="21"/>
        </w:rPr>
        <w:t xml:space="preserve">3.  </w:t>
      </w:r>
      <w:r>
        <w:rPr>
          <w:rFonts w:ascii="Arial" w:hAnsi="Arial" w:cs="Arial" w:eastAsia="Arial"/>
          <w:b/>
          <w:i w:val="0"/>
          <w:sz w:val="21"/>
        </w:rPr>
        <w:t>Communicate.</w:t>
      </w:r>
      <w:r>
        <w:rPr>
          <w:rFonts w:ascii="Arial" w:hAnsi="Arial" w:cs="Arial" w:eastAsia="Arial"/>
          <w:b w:val="0"/>
          <w:i w:val="0"/>
          <w:sz w:val="21"/>
        </w:rPr>
        <w:t xml:space="preserve"> The people affected are told, with the date it takes effect and what they must do.</w:t>
      </w:r>
    </w:p>
    <w:p>
      <w:pPr>
        <w:keepNext w:val="0"/>
        <w:spacing w:before="0" w:after="60" w:line="276" w:lineRule="auto"/>
        <w:ind w:left="504" w:hanging="403"/>
      </w:pPr>
      <w:r>
        <w:rPr>
          <w:rFonts w:ascii="Arial" w:hAnsi="Arial" w:cs="Arial" w:eastAsia="Arial"/>
          <w:b w:val="0"/>
          <w:i w:val="0"/>
          <w:sz w:val="21"/>
        </w:rPr>
        <w:t xml:space="preserve">4.  </w:t>
      </w:r>
      <w:r>
        <w:rPr>
          <w:rFonts w:ascii="Arial" w:hAnsi="Arial" w:cs="Arial" w:eastAsia="Arial"/>
          <w:b/>
          <w:i w:val="0"/>
          <w:sz w:val="21"/>
        </w:rPr>
        <w:t>Comply.</w:t>
      </w:r>
      <w:r>
        <w:rPr>
          <w:rFonts w:ascii="Arial" w:hAnsi="Arial" w:cs="Arial" w:eastAsia="Arial"/>
          <w:b w:val="0"/>
          <w:i w:val="0"/>
          <w:sz w:val="21"/>
        </w:rPr>
        <w:t xml:space="preserve"> Owners change the controls, standards and procedures, and keep evidence that they have done so.</w:t>
      </w:r>
    </w:p>
    <w:p>
      <w:pPr>
        <w:keepNext w:val="0"/>
        <w:spacing w:before="0" w:after="60" w:line="276" w:lineRule="auto"/>
        <w:ind w:left="504" w:hanging="403"/>
      </w:pPr>
      <w:r>
        <w:rPr>
          <w:rFonts w:ascii="Arial" w:hAnsi="Arial" w:cs="Arial" w:eastAsia="Arial"/>
          <w:b w:val="0"/>
          <w:i w:val="0"/>
          <w:sz w:val="21"/>
        </w:rPr>
        <w:t xml:space="preserve">5.  </w:t>
      </w:r>
      <w:r>
        <w:rPr>
          <w:rFonts w:ascii="Arial" w:hAnsi="Arial" w:cs="Arial" w:eastAsia="Arial"/>
          <w:b/>
          <w:i w:val="0"/>
          <w:sz w:val="21"/>
        </w:rPr>
        <w:t>Update.</w:t>
      </w:r>
      <w:r>
        <w:rPr>
          <w:rFonts w:ascii="Arial" w:hAnsi="Arial" w:cs="Arial" w:eastAsia="Arial"/>
          <w:b w:val="0"/>
          <w:i w:val="0"/>
          <w:sz w:val="21"/>
        </w:rPr>
        <w:t xml:space="preserve"> The cyber security policy, standards and procedures are updated where needed, through their normal approval.</w:t>
      </w:r>
    </w:p>
    <w:p>
      <w:pPr>
        <w:keepNext w:val="0"/>
        <w:spacing w:before="0" w:after="60" w:line="276" w:lineRule="auto"/>
        <w:ind w:left="504" w:hanging="403"/>
      </w:pPr>
      <w:r>
        <w:rPr>
          <w:rFonts w:ascii="Arial" w:hAnsi="Arial" w:cs="Arial" w:eastAsia="Arial"/>
          <w:b w:val="0"/>
          <w:i w:val="0"/>
          <w:sz w:val="21"/>
        </w:rPr>
        <w:t xml:space="preserve">6.  </w:t>
      </w:r>
      <w:r>
        <w:rPr>
          <w:rFonts w:ascii="Arial" w:hAnsi="Arial" w:cs="Arial" w:eastAsia="Arial"/>
          <w:b/>
          <w:i w:val="0"/>
          <w:sz w:val="21"/>
        </w:rPr>
        <w:t>Check.</w:t>
      </w:r>
      <w:r>
        <w:rPr>
          <w:rFonts w:ascii="Arial" w:hAnsi="Arial" w:cs="Arial" w:eastAsia="Arial"/>
          <w:b w:val="0"/>
          <w:i w:val="0"/>
          <w:sz w:val="21"/>
        </w:rPr>
        <w:t xml:space="preserve"> Compliance is checked and reported to the committee.</w:t>
      </w:r>
    </w:p>
    <w:p>
      <w:pPr>
        <w:keepNext w:val="0"/>
        <w:spacing w:before="0" w:after="40" w:line="240" w:lineRule="auto"/>
      </w:pPr>
    </w:p>
    <w:p>
      <w:pPr>
        <w:keepNext w:val="0"/>
        <w:spacing w:before="0" w:after="120" w:line="276" w:lineRule="auto"/>
      </w:pPr>
      <w:r>
        <w:rPr>
          <w:rFonts w:ascii="Arial" w:hAnsi="Arial" w:cs="Arial" w:eastAsia="Arial"/>
          <w:b w:val="0"/>
          <w:i w:val="0"/>
          <w:sz w:val="21"/>
        </w:rPr>
        <w:t xml:space="preserve">The process runs </w:t>
      </w:r>
      <w:sdt>
        <w:sdtPr>
          <w:alias w:val="every quarter"/>
          <w:tag w:val="09.frequency"/>
        </w:sdtPr>
        <w:sdtContent>
          <w:r>
            <w:rPr>
              <w:rFonts w:ascii="Arial" w:hAnsi="Arial" w:cs="Arial" w:eastAsia="Arial"/>
              <w:b w:val="0"/>
              <w:i w:val="0"/>
              <w:sz w:val="21"/>
              <w:highlight w:val="yellow"/>
            </w:rPr>
            <w:t>&lt;every quarter&gt;</w:t>
          </w:r>
        </w:sdtContent>
      </w:sdt>
      <w:r>
        <w:rPr>
          <w:rFonts w:ascii="Arial" w:hAnsi="Arial" w:cs="Arial" w:eastAsia="Arial"/>
          <w:b w:val="0"/>
          <w:i w:val="0"/>
          <w:sz w:val="21"/>
        </w:rPr>
        <w:t xml:space="preserve">, and whenever a new requirement takes effect. Representatives of the key areas of the organisation take part: </w:t>
      </w:r>
      <w:sdt>
        <w:sdtPr>
          <w:alias w:val="legal, compliance, IT, operations, HR, procurement and the b"/>
          <w:tag w:val="09.areas"/>
        </w:sdtPr>
        <w:sdtContent>
          <w:r>
            <w:rPr>
              <w:rFonts w:ascii="Arial" w:hAnsi="Arial" w:cs="Arial" w:eastAsia="Arial"/>
              <w:b w:val="0"/>
              <w:i w:val="0"/>
              <w:sz w:val="21"/>
              <w:highlight w:val="yellow"/>
            </w:rPr>
            <w:t>&lt;legal, compliance, IT, operations, HR, procurement and the business lines&gt;</w:t>
          </w:r>
        </w:sdtContent>
      </w:sdt>
      <w:r>
        <w:rPr>
          <w:rFonts w:ascii="Arial" w:hAnsi="Arial" w:cs="Arial" w:eastAsia="Arial"/>
          <w:b w:val="0"/>
          <w:i w:val="0"/>
          <w:sz w:val="21"/>
        </w:rPr>
        <w:t>.</w:t>
      </w:r>
    </w:p>
    <w:p>
      <w:pPr>
        <w:keepNext/>
        <w:spacing w:before="280" w:after="120" w:line="264" w:lineRule="auto"/>
      </w:pPr>
      <w:r>
        <w:rPr>
          <w:rFonts w:ascii="Arial" w:hAnsi="Arial" w:cs="Arial" w:eastAsia="Arial"/>
          <w:b/>
          <w:i w:val="0"/>
          <w:color w:val="1B253B"/>
          <w:sz w:val="28"/>
        </w:rPr>
        <w:t>4. Roles</w:t>
      </w:r>
    </w:p>
    <w:tbl>
      <w:tblPr>
        <w:tblStyle w:val="TableGrid"/>
        <w:tblW w:type="auto" w:w="0"/>
        <w:jc w:val="center"/>
        <w:tblLayout w:type="fixed"/>
        <w:tblLook w:firstColumn="1" w:firstRow="1" w:lastColumn="0" w:lastRow="0" w:noHBand="0" w:noVBand="1" w:val="04A0"/>
      </w:tblPr>
      <w:tblGrid>
        <w:gridCol w:w="7049"/>
        <w:gridCol w:w="7049"/>
      </w:tblGrid>
      <w:tr>
        <w:trPr>
          <w:tblHeader w:val="true"/>
        </w:trPr>
        <w:tc>
          <w:tcPr>
            <w:tcW w:type="dxa" w:w="5311"/>
            <w:shd w:val="clear" w:color="auto" w:fill="DCE6F5"/>
          </w:tcPr>
          <w:p>
            <w:pPr>
              <w:keepNext w:val="0"/>
              <w:spacing w:before="40" w:after="40" w:line="240" w:lineRule="auto"/>
            </w:pPr>
            <w:r>
              <w:rPr>
                <w:rFonts w:ascii="Arial" w:hAnsi="Arial" w:cs="Arial" w:eastAsia="Arial"/>
                <w:b/>
                <w:i w:val="0"/>
                <w:color w:val="1B253B"/>
                <w:sz w:val="18"/>
              </w:rPr>
              <w:t>Who</w:t>
            </w:r>
          </w:p>
        </w:tc>
        <w:tc>
          <w:tcPr>
            <w:tcW w:type="dxa" w:w="8852"/>
            <w:shd w:val="clear" w:color="auto" w:fill="DCE6F5"/>
          </w:tcPr>
          <w:p>
            <w:pPr>
              <w:keepNext w:val="0"/>
              <w:spacing w:before="40" w:after="40" w:line="240" w:lineRule="auto"/>
            </w:pPr>
            <w:r>
              <w:rPr>
                <w:rFonts w:ascii="Arial" w:hAnsi="Arial" w:cs="Arial" w:eastAsia="Arial"/>
                <w:b/>
                <w:i w:val="0"/>
                <w:color w:val="1B253B"/>
                <w:sz w:val="18"/>
              </w:rPr>
              <w:t>What they do</w:t>
            </w:r>
          </w:p>
        </w:tc>
      </w:tr>
      <w:tr>
        <w:trPr>
          <w:cantSplit w:val="true"/>
        </w:trPr>
        <w:tc>
          <w:tcPr>
            <w:tcW w:type="dxa" w:w="5311"/>
          </w:tcPr>
          <w:p>
            <w:pPr>
              <w:keepNext w:val="0"/>
              <w:spacing w:before="40" w:after="40" w:line="240" w:lineRule="auto"/>
            </w:pPr>
            <w:r>
              <w:rPr>
                <w:rFonts w:ascii="Arial" w:hAnsi="Arial" w:cs="Arial" w:eastAsia="Arial"/>
                <w:b w:val="0"/>
                <w:i w:val="0"/>
                <w:sz w:val="18"/>
              </w:rPr>
              <w:t>Head of compliance (</w:t>
            </w:r>
            <w:sdt>
              <w:sdtPr>
                <w:alias w:val="Head of compliance: name and title"/>
                <w:tag w:val="compliance_head"/>
              </w:sdtPr>
              <w:sdtContent>
                <w:r>
                  <w:rPr>
                    <w:rFonts w:ascii="Arial" w:hAnsi="Arial" w:cs="Arial" w:eastAsia="Arial"/>
                    <w:b w:val="0"/>
                    <w:i w:val="0"/>
                    <w:sz w:val="18"/>
                    <w:highlight w:val="yellow"/>
                  </w:rPr>
                  <w:t>&lt;name&gt;</w:t>
                </w:r>
              </w:sdtContent>
            </w:sdt>
            <w:r>
              <w:rPr>
                <w:rFonts w:ascii="Arial" w:hAnsi="Arial" w:cs="Arial" w:eastAsia="Arial"/>
                <w:b w:val="0"/>
                <w:i w:val="0"/>
                <w:sz w:val="18"/>
              </w:rPr>
              <w:t>)</w:t>
            </w:r>
          </w:p>
        </w:tc>
        <w:tc>
          <w:tcPr>
            <w:tcW w:type="dxa" w:w="8852"/>
          </w:tcPr>
          <w:p>
            <w:pPr>
              <w:keepNext w:val="0"/>
              <w:spacing w:before="40" w:after="40" w:line="240" w:lineRule="auto"/>
            </w:pPr>
            <w:r>
              <w:rPr>
                <w:rFonts w:ascii="Arial" w:hAnsi="Arial" w:cs="Arial" w:eastAsia="Arial"/>
                <w:b w:val="0"/>
                <w:i w:val="0"/>
                <w:sz w:val="18"/>
              </w:rPr>
              <w:t>Owns the process and the register. Watches for changes and brings them to the committee.</w:t>
            </w:r>
          </w:p>
        </w:tc>
      </w:tr>
      <w:tr>
        <w:trPr>
          <w:cantSplit w:val="true"/>
        </w:trPr>
        <w:tc>
          <w:tcPr>
            <w:tcW w:type="dxa" w:w="5311"/>
          </w:tcPr>
          <w:p>
            <w:pPr>
              <w:keepNext w:val="0"/>
              <w:spacing w:before="40" w:after="40" w:line="240" w:lineRule="auto"/>
            </w:pPr>
            <w:r>
              <w:rPr>
                <w:rFonts w:ascii="Arial" w:hAnsi="Arial" w:cs="Arial" w:eastAsia="Arial"/>
                <w:b w:val="0"/>
                <w:i w:val="0"/>
                <w:sz w:val="18"/>
              </w:rPr>
              <w:t>The CISO</w:t>
            </w:r>
          </w:p>
        </w:tc>
        <w:tc>
          <w:tcPr>
            <w:tcW w:type="dxa" w:w="8852"/>
          </w:tcPr>
          <w:p>
            <w:pPr>
              <w:keepNext w:val="0"/>
              <w:spacing w:before="40" w:after="40" w:line="240" w:lineRule="auto"/>
            </w:pPr>
            <w:r>
              <w:rPr>
                <w:rFonts w:ascii="Arial" w:hAnsi="Arial" w:cs="Arial" w:eastAsia="Arial"/>
                <w:b w:val="0"/>
                <w:i w:val="0"/>
                <w:sz w:val="18"/>
              </w:rPr>
              <w:t>Assesses the cyber security implications and makes sure policy, standards and procedures are updated.</w:t>
            </w:r>
          </w:p>
        </w:tc>
      </w:tr>
      <w:tr>
        <w:trPr>
          <w:cantSplit w:val="true"/>
        </w:trPr>
        <w:tc>
          <w:tcPr>
            <w:tcW w:type="dxa" w:w="5311"/>
          </w:tcPr>
          <w:p>
            <w:pPr>
              <w:keepNext w:val="0"/>
              <w:spacing w:before="40" w:after="40" w:line="240" w:lineRule="auto"/>
            </w:pPr>
            <w:r>
              <w:rPr>
                <w:rFonts w:ascii="Arial" w:hAnsi="Arial" w:cs="Arial" w:eastAsia="Arial"/>
                <w:b w:val="0"/>
                <w:i w:val="0"/>
                <w:sz w:val="18"/>
              </w:rPr>
              <w:t>Requirement owners</w:t>
            </w:r>
          </w:p>
        </w:tc>
        <w:tc>
          <w:tcPr>
            <w:tcW w:type="dxa" w:w="8852"/>
          </w:tcPr>
          <w:p>
            <w:pPr>
              <w:keepNext w:val="0"/>
              <w:spacing w:before="40" w:after="40" w:line="240" w:lineRule="auto"/>
            </w:pPr>
            <w:r>
              <w:rPr>
                <w:rFonts w:ascii="Arial" w:hAnsi="Arial" w:cs="Arial" w:eastAsia="Arial"/>
                <w:b w:val="0"/>
                <w:i w:val="0"/>
                <w:sz w:val="18"/>
              </w:rPr>
              <w:t>Make sure the organisation meets each requirement they own, and keep the evidence.</w:t>
            </w:r>
          </w:p>
        </w:tc>
      </w:tr>
      <w:tr>
        <w:trPr>
          <w:cantSplit w:val="true"/>
        </w:trPr>
        <w:tc>
          <w:tcPr>
            <w:tcW w:type="dxa" w:w="5311"/>
          </w:tcPr>
          <w:p>
            <w:pPr>
              <w:keepNext w:val="0"/>
              <w:spacing w:before="40" w:after="40" w:line="240" w:lineRule="auto"/>
            </w:pPr>
            <w:r>
              <w:rPr>
                <w:rFonts w:ascii="Arial" w:hAnsi="Arial" w:cs="Arial" w:eastAsia="Arial"/>
                <w:b w:val="0"/>
                <w:i w:val="0"/>
                <w:sz w:val="18"/>
              </w:rPr>
              <w:t>The committee</w:t>
            </w:r>
          </w:p>
        </w:tc>
        <w:tc>
          <w:tcPr>
            <w:tcW w:type="dxa" w:w="8852"/>
          </w:tcPr>
          <w:p>
            <w:pPr>
              <w:keepNext w:val="0"/>
              <w:spacing w:before="40" w:after="40" w:line="240" w:lineRule="auto"/>
            </w:pPr>
            <w:r>
              <w:rPr>
                <w:rFonts w:ascii="Arial" w:hAnsi="Arial" w:cs="Arial" w:eastAsia="Arial"/>
                <w:b w:val="0"/>
                <w:i w:val="0"/>
                <w:sz w:val="18"/>
              </w:rPr>
              <w:t>Monitors compliance and decides on any gap.</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Register of requirements</w:t>
      </w:r>
    </w:p>
    <w:p>
      <w:pPr>
        <w:keepNext w:val="0"/>
        <w:spacing w:before="0" w:after="120" w:line="276" w:lineRule="auto"/>
      </w:pPr>
      <w:r>
        <w:rPr>
          <w:rFonts w:ascii="Arial" w:hAnsi="Arial" w:cs="Arial" w:eastAsia="Arial"/>
          <w:b w:val="0"/>
          <w:i w:val="0"/>
          <w:sz w:val="21"/>
        </w:rPr>
        <w:t>Every requirement is entered here with its owner and how it is met. Pick from the common ones, then check them with your legal and compliance advisers.</w:t>
      </w:r>
    </w:p>
    <w:tbl>
      <w:tblPr>
        <w:tblStyle w:val="TableGrid"/>
        <w:tblW w:type="auto" w:w="0"/>
        <w:jc w:val="center"/>
        <w:tblLayout w:type="fixed"/>
        <w:tblLook w:firstColumn="1" w:firstRow="1" w:lastColumn="0" w:lastRow="0" w:noHBand="0" w:noVBand="1" w:val="04A0"/>
        <w:tblCaption w:val="list:09.requirements"/>
      </w:tblPr>
      <w:tblGrid>
        <w:gridCol w:w="1762"/>
        <w:gridCol w:w="1762"/>
        <w:gridCol w:w="1762"/>
        <w:gridCol w:w="1762"/>
        <w:gridCol w:w="1762"/>
        <w:gridCol w:w="1762"/>
        <w:gridCol w:w="1762"/>
        <w:gridCol w:w="1762"/>
      </w:tblGrid>
      <w:tr>
        <w:trPr>
          <w:tblHeader w:val="true"/>
        </w:trPr>
        <w:tc>
          <w:tcPr>
            <w:tcW w:type="dxa" w:w="885"/>
            <w:shd w:val="clear" w:color="auto" w:fill="DCE6F5"/>
          </w:tcPr>
          <w:p>
            <w:pPr>
              <w:keepNext w:val="0"/>
              <w:spacing w:before="40" w:after="40" w:line="240" w:lineRule="auto"/>
            </w:pPr>
            <w:r>
              <w:rPr>
                <w:rFonts w:ascii="Arial" w:hAnsi="Arial" w:cs="Arial" w:eastAsia="Arial"/>
                <w:b/>
                <w:i w:val="0"/>
                <w:color w:val="1B253B"/>
                <w:sz w:val="18"/>
              </w:rPr>
              <w:t>Ref</w:t>
            </w:r>
          </w:p>
        </w:tc>
        <w:tc>
          <w:tcPr>
            <w:tcW w:type="dxa" w:w="2877"/>
            <w:shd w:val="clear" w:color="auto" w:fill="DCE6F5"/>
          </w:tcPr>
          <w:p>
            <w:pPr>
              <w:keepNext w:val="0"/>
              <w:spacing w:before="40" w:after="40" w:line="240" w:lineRule="auto"/>
            </w:pPr>
            <w:r>
              <w:rPr>
                <w:rFonts w:ascii="Arial" w:hAnsi="Arial" w:cs="Arial" w:eastAsia="Arial"/>
                <w:b/>
                <w:i w:val="0"/>
                <w:color w:val="1B253B"/>
                <w:sz w:val="18"/>
              </w:rPr>
              <w:t>Requirement</w:t>
            </w:r>
          </w:p>
        </w:tc>
        <w:tc>
          <w:tcPr>
            <w:tcW w:type="dxa" w:w="1770"/>
            <w:shd w:val="clear" w:color="auto" w:fill="DCE6F5"/>
          </w:tcPr>
          <w:p>
            <w:pPr>
              <w:keepNext w:val="0"/>
              <w:spacing w:before="40" w:after="40" w:line="240" w:lineRule="auto"/>
            </w:pPr>
            <w:r>
              <w:rPr>
                <w:rFonts w:ascii="Arial" w:hAnsi="Arial" w:cs="Arial" w:eastAsia="Arial"/>
                <w:b/>
                <w:i w:val="0"/>
                <w:color w:val="1B253B"/>
                <w:sz w:val="18"/>
              </w:rPr>
              <w:t>Issued by</w:t>
            </w:r>
          </w:p>
        </w:tc>
        <w:tc>
          <w:tcPr>
            <w:tcW w:type="dxa" w:w="1770"/>
            <w:shd w:val="clear" w:color="auto" w:fill="DCE6F5"/>
          </w:tcPr>
          <w:p>
            <w:pPr>
              <w:keepNext w:val="0"/>
              <w:spacing w:before="40" w:after="40" w:line="240" w:lineRule="auto"/>
            </w:pPr>
            <w:r>
              <w:rPr>
                <w:rFonts w:ascii="Arial" w:hAnsi="Arial" w:cs="Arial" w:eastAsia="Arial"/>
                <w:b/>
                <w:i w:val="0"/>
                <w:color w:val="1B253B"/>
                <w:sz w:val="18"/>
              </w:rPr>
              <w:t>Applies to</w:t>
            </w:r>
          </w:p>
        </w:tc>
        <w:tc>
          <w:tcPr>
            <w:tcW w:type="dxa" w:w="2656"/>
            <w:shd w:val="clear" w:color="auto" w:fill="DCE6F5"/>
          </w:tcPr>
          <w:p>
            <w:pPr>
              <w:keepNext w:val="0"/>
              <w:spacing w:before="40" w:after="40" w:line="240" w:lineRule="auto"/>
            </w:pPr>
            <w:r>
              <w:rPr>
                <w:rFonts w:ascii="Arial" w:hAnsi="Arial" w:cs="Arial" w:eastAsia="Arial"/>
                <w:b/>
                <w:i w:val="0"/>
                <w:color w:val="1B253B"/>
                <w:sz w:val="18"/>
              </w:rPr>
              <w:t>What it requires</w:t>
            </w:r>
          </w:p>
        </w:tc>
        <w:tc>
          <w:tcPr>
            <w:tcW w:type="dxa" w:w="1992"/>
            <w:shd w:val="clear" w:color="auto" w:fill="DCE6F5"/>
          </w:tcPr>
          <w:p>
            <w:pPr>
              <w:keepNext w:val="0"/>
              <w:spacing w:before="40" w:after="40" w:line="240" w:lineRule="auto"/>
            </w:pPr>
            <w:r>
              <w:rPr>
                <w:rFonts w:ascii="Arial" w:hAnsi="Arial" w:cs="Arial" w:eastAsia="Arial"/>
                <w:b/>
                <w:i w:val="0"/>
                <w:color w:val="1B253B"/>
                <w:sz w:val="18"/>
              </w:rPr>
              <w:t>How we meet it</w:t>
            </w:r>
          </w:p>
        </w:tc>
        <w:tc>
          <w:tcPr>
            <w:tcW w:type="dxa" w:w="1107"/>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107"/>
            <w:shd w:val="clear" w:color="auto" w:fill="DCE6F5"/>
          </w:tcPr>
          <w:p>
            <w:pPr>
              <w:keepNext w:val="0"/>
              <w:spacing w:before="40" w:after="40" w:line="240" w:lineRule="auto"/>
            </w:pPr>
            <w:r>
              <w:rPr>
                <w:rFonts w:ascii="Arial" w:hAnsi="Arial" w:cs="Arial" w:eastAsia="Arial"/>
                <w:b/>
                <w:i w:val="0"/>
                <w:color w:val="1B253B"/>
                <w:sz w:val="18"/>
              </w:rPr>
              <w:t>Reviewed</w:t>
            </w:r>
          </w:p>
        </w:tc>
      </w:tr>
      <w:tr>
        <w:trPr>
          <w:cantSplit w:val="true"/>
        </w:trPr>
        <w:tc>
          <w:tcPr>
            <w:tcW w:type="dxa" w:w="885"/>
          </w:tcPr>
          <w:p>
            <w:pPr>
              <w:keepNext w:val="0"/>
              <w:spacing w:before="40" w:after="40" w:line="240" w:lineRule="auto"/>
            </w:pPr>
            <w:r>
              <w:rPr>
                <w:rFonts w:ascii="Arial" w:hAnsi="Arial" w:cs="Arial" w:eastAsia="Arial"/>
                <w:b w:val="0"/>
                <w:i w:val="0"/>
                <w:sz w:val="18"/>
                <w:highlight w:val="yellow"/>
              </w:rPr>
              <w:t>&lt;Ref&gt;</w:t>
            </w:r>
          </w:p>
        </w:tc>
        <w:tc>
          <w:tcPr>
            <w:tcW w:type="dxa" w:w="2877"/>
          </w:tcPr>
          <w:p>
            <w:pPr>
              <w:keepNext w:val="0"/>
              <w:spacing w:before="40" w:after="40" w:line="240" w:lineRule="auto"/>
            </w:pPr>
            <w:r>
              <w:rPr>
                <w:rFonts w:ascii="Arial" w:hAnsi="Arial" w:cs="Arial" w:eastAsia="Arial"/>
                <w:b w:val="0"/>
                <w:i w:val="0"/>
                <w:sz w:val="18"/>
                <w:highlight w:val="yellow"/>
              </w:rPr>
              <w:t>&lt;Requirement&gt;</w:t>
            </w:r>
          </w:p>
        </w:tc>
        <w:tc>
          <w:tcPr>
            <w:tcW w:type="dxa" w:w="1770"/>
          </w:tcPr>
          <w:p>
            <w:pPr>
              <w:keepNext w:val="0"/>
              <w:spacing w:before="40" w:after="40" w:line="240" w:lineRule="auto"/>
            </w:pPr>
            <w:r>
              <w:rPr>
                <w:rFonts w:ascii="Arial" w:hAnsi="Arial" w:cs="Arial" w:eastAsia="Arial"/>
                <w:b w:val="0"/>
                <w:i w:val="0"/>
                <w:sz w:val="18"/>
                <w:highlight w:val="yellow"/>
              </w:rPr>
              <w:t>&lt;Issued by&gt;</w:t>
            </w:r>
          </w:p>
        </w:tc>
        <w:tc>
          <w:tcPr>
            <w:tcW w:type="dxa" w:w="1770"/>
          </w:tcPr>
          <w:p>
            <w:pPr>
              <w:keepNext w:val="0"/>
              <w:spacing w:before="40" w:after="40" w:line="240" w:lineRule="auto"/>
            </w:pPr>
            <w:r>
              <w:rPr>
                <w:rFonts w:ascii="Arial" w:hAnsi="Arial" w:cs="Arial" w:eastAsia="Arial"/>
                <w:b w:val="0"/>
                <w:i w:val="0"/>
                <w:sz w:val="18"/>
                <w:highlight w:val="yellow"/>
              </w:rPr>
              <w:t>&lt;Applies to&gt;</w:t>
            </w:r>
          </w:p>
        </w:tc>
        <w:tc>
          <w:tcPr>
            <w:tcW w:type="dxa" w:w="2656"/>
          </w:tcPr>
          <w:p>
            <w:pPr>
              <w:keepNext w:val="0"/>
              <w:spacing w:before="40" w:after="40" w:line="240" w:lineRule="auto"/>
            </w:pPr>
            <w:r>
              <w:rPr>
                <w:rFonts w:ascii="Arial" w:hAnsi="Arial" w:cs="Arial" w:eastAsia="Arial"/>
                <w:b w:val="0"/>
                <w:i w:val="0"/>
                <w:sz w:val="18"/>
                <w:highlight w:val="yellow"/>
              </w:rPr>
              <w:t>&lt;What it requires&gt;</w:t>
            </w:r>
          </w:p>
        </w:tc>
        <w:tc>
          <w:tcPr>
            <w:tcW w:type="dxa" w:w="1992"/>
          </w:tcPr>
          <w:p>
            <w:pPr>
              <w:keepNext w:val="0"/>
              <w:spacing w:before="40" w:after="40" w:line="240" w:lineRule="auto"/>
            </w:pPr>
            <w:r>
              <w:rPr>
                <w:rFonts w:ascii="Arial" w:hAnsi="Arial" w:cs="Arial" w:eastAsia="Arial"/>
                <w:b w:val="0"/>
                <w:i w:val="0"/>
                <w:sz w:val="18"/>
                <w:highlight w:val="yellow"/>
              </w:rPr>
              <w:t>&lt;How we meet it&gt;</w:t>
            </w:r>
          </w:p>
        </w:tc>
        <w:tc>
          <w:tcPr>
            <w:tcW w:type="dxa" w:w="1107"/>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&lt;Reviewed&gt;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Industry standards</w:t>
      </w:r>
    </w:p>
    <w:p>
      <w:pPr>
        <w:keepNext w:val="0"/>
        <w:spacing w:before="0" w:after="120" w:line="276" w:lineRule="auto"/>
      </w:pPr>
      <w:r>
        <w:rPr>
          <w:rFonts w:ascii="Arial" w:hAnsi="Arial" w:cs="Arial" w:eastAsia="Arial"/>
          <w:b w:val="0"/>
          <w:i w:val="0"/>
          <w:sz w:val="21"/>
        </w:rPr>
        <w:t>Where they apply to the organisation, it complies with the mandatory national and international industry standards: the Payment Card Industry Data Security Standard (PCI DSS), the EMV technical standard, and the SWIFT Customer Security Controls Framework. Evidence for each is kept with the register.</w:t>
      </w:r>
    </w:p>
    <w:tbl>
      <w:tblPr>
        <w:tblStyle w:val="TableGrid"/>
        <w:tblW w:type="auto" w:w="0"/>
        <w:jc w:val="center"/>
        <w:tblLayout w:type="fixed"/>
        <w:tblLook w:firstColumn="1" w:firstRow="1" w:lastColumn="0" w:lastRow="0" w:noHBand="0" w:noVBand="1" w:val="04A0"/>
      </w:tblPr>
      <w:tblGrid>
        <w:gridCol w:w="2350"/>
        <w:gridCol w:w="2350"/>
        <w:gridCol w:w="2350"/>
        <w:gridCol w:w="2350"/>
        <w:gridCol w:w="2350"/>
        <w:gridCol w:w="2350"/>
      </w:tblGrid>
      <w:tr>
        <w:trPr>
          <w:tblHeader w:val="true"/>
        </w:trPr>
        <w:tc>
          <w:tcPr>
            <w:tcW w:type="dxa" w:w="4205"/>
            <w:shd w:val="clear" w:color="auto" w:fill="DCE6F5"/>
          </w:tcPr>
          <w:p>
            <w:pPr>
              <w:keepNext w:val="0"/>
              <w:spacing w:before="40" w:after="40" w:line="240" w:lineRule="auto"/>
            </w:pPr>
            <w:r>
              <w:rPr>
                <w:rFonts w:ascii="Arial" w:hAnsi="Arial" w:cs="Arial" w:eastAsia="Arial"/>
                <w:b/>
                <w:i w:val="0"/>
                <w:color w:val="1B253B"/>
                <w:sz w:val="18"/>
              </w:rPr>
              <w:t>Standard</w:t>
            </w:r>
          </w:p>
        </w:tc>
        <w:tc>
          <w:tcPr>
            <w:tcW w:type="dxa" w:w="1770"/>
            <w:shd w:val="clear" w:color="auto" w:fill="DCE6F5"/>
          </w:tcPr>
          <w:p>
            <w:pPr>
              <w:keepNext w:val="0"/>
              <w:spacing w:before="40" w:after="40" w:line="240" w:lineRule="auto"/>
            </w:pPr>
            <w:r>
              <w:rPr>
                <w:rFonts w:ascii="Arial" w:hAnsi="Arial" w:cs="Arial" w:eastAsia="Arial"/>
                <w:b/>
                <w:i w:val="0"/>
                <w:color w:val="1B253B"/>
                <w:sz w:val="18"/>
              </w:rPr>
              <w:t>Applies?</w:t>
            </w:r>
          </w:p>
        </w:tc>
        <w:tc>
          <w:tcPr>
            <w:tcW w:type="dxa" w:w="2877"/>
            <w:shd w:val="clear" w:color="auto" w:fill="DCE6F5"/>
          </w:tcPr>
          <w:p>
            <w:pPr>
              <w:keepNext w:val="0"/>
              <w:spacing w:before="40" w:after="40" w:line="240" w:lineRule="auto"/>
            </w:pPr>
            <w:r>
              <w:rPr>
                <w:rFonts w:ascii="Arial" w:hAnsi="Arial" w:cs="Arial" w:eastAsia="Arial"/>
                <w:b/>
                <w:i w:val="0"/>
                <w:color w:val="1B253B"/>
                <w:sz w:val="18"/>
              </w:rPr>
              <w:t>Evidence</w:t>
            </w:r>
          </w:p>
        </w:tc>
        <w:tc>
          <w:tcPr>
            <w:tcW w:type="dxa" w:w="1992"/>
            <w:shd w:val="clear" w:color="auto" w:fill="DCE6F5"/>
          </w:tcPr>
          <w:p>
            <w:pPr>
              <w:keepNext w:val="0"/>
              <w:spacing w:before="40" w:after="40" w:line="240" w:lineRule="auto"/>
            </w:pPr>
            <w:r>
              <w:rPr>
                <w:rFonts w:ascii="Arial" w:hAnsi="Arial" w:cs="Arial" w:eastAsia="Arial"/>
                <w:b/>
                <w:i w:val="0"/>
                <w:color w:val="1B253B"/>
                <w:sz w:val="18"/>
              </w:rPr>
              <w:t>Last assessed</w:t>
            </w:r>
          </w:p>
        </w:tc>
        <w:tc>
          <w:tcPr>
            <w:tcW w:type="dxa" w:w="1770"/>
            <w:shd w:val="clear" w:color="auto" w:fill="DCE6F5"/>
          </w:tcPr>
          <w:p>
            <w:pPr>
              <w:keepNext w:val="0"/>
              <w:spacing w:before="40" w:after="40" w:line="240" w:lineRule="auto"/>
            </w:pPr>
            <w:r>
              <w:rPr>
                <w:rFonts w:ascii="Arial" w:hAnsi="Arial" w:cs="Arial" w:eastAsia="Arial"/>
                <w:b/>
                <w:i w:val="0"/>
                <w:color w:val="1B253B"/>
                <w:sz w:val="18"/>
              </w:rPr>
              <w:t>Next due</w:t>
            </w:r>
          </w:p>
        </w:tc>
        <w:tc>
          <w:tcPr>
            <w:tcW w:type="dxa" w:w="1549"/>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205"/>
          </w:tcPr>
          <w:p>
            <w:pPr>
              <w:keepNext w:val="0"/>
              <w:spacing w:before="40" w:after="40" w:line="240" w:lineRule="auto"/>
            </w:pPr>
            <w:r>
              <w:rPr>
                <w:rFonts w:ascii="Arial" w:hAnsi="Arial" w:cs="Arial" w:eastAsia="Arial"/>
                <w:b w:val="0"/>
                <w:i w:val="0"/>
                <w:sz w:val="18"/>
              </w:rPr>
              <w:t>PCI DSS</w:t>
            </w:r>
          </w:p>
        </w:tc>
        <w:tc>
          <w:tcPr>
            <w:tcW w:type="dxa" w:w="1770"/>
          </w:tcPr>
          <w:p>
            <w:pPr>
              <w:keepNext w:val="0"/>
              <w:spacing w:before="40" w:after="40" w:line="240" w:lineRule="auto"/>
            </w:pPr>
            <w:sdt>
              <w:sdtPr>
                <w:alias w:val="Yes / No"/>
                <w:tag w:val="09.t5.r0.c1"/>
              </w:sdtPr>
              <w:sdtContent>
                <w:r>
                  <w:rPr>
                    <w:rFonts w:ascii="Arial" w:hAnsi="Arial" w:cs="Arial" w:eastAsia="Arial"/>
                    <w:b w:val="0"/>
                    <w:i w:val="0"/>
                    <w:sz w:val="18"/>
                    <w:highlight w:val="yellow"/>
                  </w:rPr>
                  <w:t>&lt;Yes / No&gt;</w:t>
                </w:r>
              </w:sdtContent>
            </w:sdt>
          </w:p>
        </w:tc>
        <w:tc>
          <w:tcPr>
            <w:tcW w:type="dxa" w:w="2877"/>
          </w:tcPr>
          <w:p>
            <w:pPr>
              <w:keepNext w:val="0"/>
              <w:spacing w:before="40" w:after="40" w:line="240" w:lineRule="auto"/>
            </w:pPr>
            <w:sdt>
              <w:sdtPr>
                <w:alias w:val="Evidence"/>
                <w:tag w:val="09.t5.r0.c2"/>
              </w:sdtPr>
              <w:sdtContent>
                <w:r>
                  <w:rPr>
                    <w:rFonts w:ascii="Arial" w:hAnsi="Arial" w:cs="Arial" w:eastAsia="Arial"/>
                    <w:b w:val="0"/>
                    <w:i w:val="0"/>
                    <w:sz w:val="18"/>
                    <w:highlight w:val="yellow"/>
                  </w:rPr>
                  <w:t>&lt;Evidence&gt;</w:t>
                </w:r>
              </w:sdtContent>
            </w:sdt>
          </w:p>
        </w:tc>
        <w:tc>
          <w:tcPr>
            <w:tcW w:type="dxa" w:w="1992"/>
          </w:tcPr>
          <w:p>
            <w:pPr>
              <w:keepNext w:val="0"/>
              <w:spacing w:before="40" w:after="40" w:line="240" w:lineRule="auto"/>
            </w:pPr>
            <w:sdt>
              <w:sdtPr>
                <w:alias w:val="Date"/>
                <w:tag w:val="09.t5.r0.c3"/>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Date"/>
                <w:tag w:val="09.t5.r0.c4"/>
              </w:sdtPr>
              <w:sdtContent>
                <w:r>
                  <w:rPr>
                    <w:rFonts w:ascii="Arial" w:hAnsi="Arial" w:cs="Arial" w:eastAsia="Arial"/>
                    <w:b w:val="0"/>
                    <w:i w:val="0"/>
                    <w:sz w:val="18"/>
                    <w:highlight w:val="yellow"/>
                  </w:rPr>
                  <w:t>&lt;Date&gt;</w:t>
                </w:r>
              </w:sdtContent>
            </w:sdt>
          </w:p>
        </w:tc>
        <w:tc>
          <w:tcPr>
            <w:tcW w:type="dxa" w:w="1549"/>
          </w:tcPr>
          <w:p>
            <w:pPr>
              <w:keepNext w:val="0"/>
              <w:spacing w:before="40" w:after="40" w:line="240" w:lineRule="auto"/>
            </w:pPr>
            <w:sdt>
              <w:sdtPr>
                <w:alias w:val="Owner"/>
                <w:tag w:val="09.t5.r0.c5"/>
              </w:sdtPr>
              <w:sdtContent>
                <w:r>
                  <w:rPr>
                    <w:rFonts w:ascii="Arial" w:hAnsi="Arial" w:cs="Arial" w:eastAsia="Arial"/>
                    <w:b w:val="0"/>
                    <w:i w:val="0"/>
                    <w:sz w:val="18"/>
                    <w:highlight w:val="yellow"/>
                  </w:rPr>
                  <w:t>&lt;Owner&gt;</w:t>
                </w:r>
              </w:sdtContent>
            </w:sdt>
          </w:p>
        </w:tc>
      </w:tr>
      <w:tr>
        <w:trPr>
          <w:cantSplit w:val="true"/>
        </w:trPr>
        <w:tc>
          <w:tcPr>
            <w:tcW w:type="dxa" w:w="4205"/>
          </w:tcPr>
          <w:p>
            <w:pPr>
              <w:keepNext w:val="0"/>
              <w:spacing w:before="40" w:after="40" w:line="240" w:lineRule="auto"/>
            </w:pPr>
            <w:r>
              <w:rPr>
                <w:rFonts w:ascii="Arial" w:hAnsi="Arial" w:cs="Arial" w:eastAsia="Arial"/>
                <w:b w:val="0"/>
                <w:i w:val="0"/>
                <w:sz w:val="18"/>
              </w:rPr>
              <w:t>EMV</w:t>
            </w:r>
          </w:p>
        </w:tc>
        <w:tc>
          <w:tcPr>
            <w:tcW w:type="dxa" w:w="1770"/>
          </w:tcPr>
          <w:p>
            <w:pPr>
              <w:keepNext w:val="0"/>
              <w:spacing w:before="40" w:after="40" w:line="240" w:lineRule="auto"/>
            </w:pPr>
            <w:sdt>
              <w:sdtPr>
                <w:alias w:val="Yes / No"/>
                <w:tag w:val="09.t5.r1.c1"/>
              </w:sdtPr>
              <w:sdtContent>
                <w:r>
                  <w:rPr>
                    <w:rFonts w:ascii="Arial" w:hAnsi="Arial" w:cs="Arial" w:eastAsia="Arial"/>
                    <w:b w:val="0"/>
                    <w:i w:val="0"/>
                    <w:sz w:val="18"/>
                    <w:highlight w:val="yellow"/>
                  </w:rPr>
                  <w:t>&lt;Yes / No&gt;</w:t>
                </w:r>
              </w:sdtContent>
            </w:sdt>
          </w:p>
        </w:tc>
        <w:tc>
          <w:tcPr>
            <w:tcW w:type="dxa" w:w="2877"/>
          </w:tcPr>
          <w:p>
            <w:pPr>
              <w:keepNext w:val="0"/>
              <w:spacing w:before="40" w:after="40" w:line="240" w:lineRule="auto"/>
            </w:pPr>
            <w:sdt>
              <w:sdtPr>
                <w:alias w:val="Evidence"/>
                <w:tag w:val="09.t5.r1.c2"/>
              </w:sdtPr>
              <w:sdtContent>
                <w:r>
                  <w:rPr>
                    <w:rFonts w:ascii="Arial" w:hAnsi="Arial" w:cs="Arial" w:eastAsia="Arial"/>
                    <w:b w:val="0"/>
                    <w:i w:val="0"/>
                    <w:sz w:val="18"/>
                    <w:highlight w:val="yellow"/>
                  </w:rPr>
                  <w:t>&lt;Evidence&gt;</w:t>
                </w:r>
              </w:sdtContent>
            </w:sdt>
          </w:p>
        </w:tc>
        <w:tc>
          <w:tcPr>
            <w:tcW w:type="dxa" w:w="1992"/>
          </w:tcPr>
          <w:p>
            <w:pPr>
              <w:keepNext w:val="0"/>
              <w:spacing w:before="40" w:after="40" w:line="240" w:lineRule="auto"/>
            </w:pPr>
            <w:sdt>
              <w:sdtPr>
                <w:alias w:val="Date"/>
                <w:tag w:val="09.t5.r1.c3"/>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Date"/>
                <w:tag w:val="09.t5.r1.c4"/>
              </w:sdtPr>
              <w:sdtContent>
                <w:r>
                  <w:rPr>
                    <w:rFonts w:ascii="Arial" w:hAnsi="Arial" w:cs="Arial" w:eastAsia="Arial"/>
                    <w:b w:val="0"/>
                    <w:i w:val="0"/>
                    <w:sz w:val="18"/>
                    <w:highlight w:val="yellow"/>
                  </w:rPr>
                  <w:t>&lt;Date&gt;</w:t>
                </w:r>
              </w:sdtContent>
            </w:sdt>
          </w:p>
        </w:tc>
        <w:tc>
          <w:tcPr>
            <w:tcW w:type="dxa" w:w="1549"/>
          </w:tcPr>
          <w:p>
            <w:pPr>
              <w:keepNext w:val="0"/>
              <w:spacing w:before="40" w:after="40" w:line="240" w:lineRule="auto"/>
            </w:pPr>
            <w:sdt>
              <w:sdtPr>
                <w:alias w:val="Owner"/>
                <w:tag w:val="09.t5.r1.c5"/>
              </w:sdtPr>
              <w:sdtContent>
                <w:r>
                  <w:rPr>
                    <w:rFonts w:ascii="Arial" w:hAnsi="Arial" w:cs="Arial" w:eastAsia="Arial"/>
                    <w:b w:val="0"/>
                    <w:i w:val="0"/>
                    <w:sz w:val="18"/>
                    <w:highlight w:val="yellow"/>
                  </w:rPr>
                  <w:t>&lt;Owner&gt;</w:t>
                </w:r>
              </w:sdtContent>
            </w:sdt>
          </w:p>
        </w:tc>
      </w:tr>
      <w:tr>
        <w:trPr>
          <w:cantSplit w:val="true"/>
        </w:trPr>
        <w:tc>
          <w:tcPr>
            <w:tcW w:type="dxa" w:w="4205"/>
          </w:tcPr>
          <w:p>
            <w:pPr>
              <w:keepNext w:val="0"/>
              <w:spacing w:before="40" w:after="40" w:line="240" w:lineRule="auto"/>
            </w:pPr>
            <w:r>
              <w:rPr>
                <w:rFonts w:ascii="Arial" w:hAnsi="Arial" w:cs="Arial" w:eastAsia="Arial"/>
                <w:b w:val="0"/>
                <w:i w:val="0"/>
                <w:sz w:val="18"/>
              </w:rPr>
              <w:t>SWIFT Customer Security Controls Framework</w:t>
            </w:r>
          </w:p>
        </w:tc>
        <w:tc>
          <w:tcPr>
            <w:tcW w:type="dxa" w:w="1770"/>
          </w:tcPr>
          <w:p>
            <w:pPr>
              <w:keepNext w:val="0"/>
              <w:spacing w:before="40" w:after="40" w:line="240" w:lineRule="auto"/>
            </w:pPr>
            <w:sdt>
              <w:sdtPr>
                <w:alias w:val="Yes / No"/>
                <w:tag w:val="09.t5.r2.c1"/>
              </w:sdtPr>
              <w:sdtContent>
                <w:r>
                  <w:rPr>
                    <w:rFonts w:ascii="Arial" w:hAnsi="Arial" w:cs="Arial" w:eastAsia="Arial"/>
                    <w:b w:val="0"/>
                    <w:i w:val="0"/>
                    <w:sz w:val="18"/>
                    <w:highlight w:val="yellow"/>
                  </w:rPr>
                  <w:t>&lt;Yes / No&gt;</w:t>
                </w:r>
              </w:sdtContent>
            </w:sdt>
          </w:p>
        </w:tc>
        <w:tc>
          <w:tcPr>
            <w:tcW w:type="dxa" w:w="2877"/>
          </w:tcPr>
          <w:p>
            <w:pPr>
              <w:keepNext w:val="0"/>
              <w:spacing w:before="40" w:after="40" w:line="240" w:lineRule="auto"/>
            </w:pPr>
            <w:sdt>
              <w:sdtPr>
                <w:alias w:val="Evidence"/>
                <w:tag w:val="09.t5.r2.c2"/>
              </w:sdtPr>
              <w:sdtContent>
                <w:r>
                  <w:rPr>
                    <w:rFonts w:ascii="Arial" w:hAnsi="Arial" w:cs="Arial" w:eastAsia="Arial"/>
                    <w:b w:val="0"/>
                    <w:i w:val="0"/>
                    <w:sz w:val="18"/>
                    <w:highlight w:val="yellow"/>
                  </w:rPr>
                  <w:t>&lt;Evidence&gt;</w:t>
                </w:r>
              </w:sdtContent>
            </w:sdt>
          </w:p>
        </w:tc>
        <w:tc>
          <w:tcPr>
            <w:tcW w:type="dxa" w:w="1992"/>
          </w:tcPr>
          <w:p>
            <w:pPr>
              <w:keepNext w:val="0"/>
              <w:spacing w:before="40" w:after="40" w:line="240" w:lineRule="auto"/>
            </w:pPr>
            <w:sdt>
              <w:sdtPr>
                <w:alias w:val="Date"/>
                <w:tag w:val="09.t5.r2.c3"/>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Date"/>
                <w:tag w:val="09.t5.r2.c4"/>
              </w:sdtPr>
              <w:sdtContent>
                <w:r>
                  <w:rPr>
                    <w:rFonts w:ascii="Arial" w:hAnsi="Arial" w:cs="Arial" w:eastAsia="Arial"/>
                    <w:b w:val="0"/>
                    <w:i w:val="0"/>
                    <w:sz w:val="18"/>
                    <w:highlight w:val="yellow"/>
                  </w:rPr>
                  <w:t>&lt;Date&gt;</w:t>
                </w:r>
              </w:sdtContent>
            </w:sdt>
          </w:p>
        </w:tc>
        <w:tc>
          <w:tcPr>
            <w:tcW w:type="dxa" w:w="1549"/>
          </w:tcPr>
          <w:p>
            <w:pPr>
              <w:keepNext w:val="0"/>
              <w:spacing w:before="40" w:after="40" w:line="240" w:lineRule="auto"/>
            </w:pPr>
            <w:sdt>
              <w:sdtPr>
                <w:alias w:val="Owner"/>
                <w:tag w:val="09.t5.r2.c5"/>
              </w:sdtPr>
              <w:sdtContent>
                <w:r>
                  <w:rPr>
                    <w:rFonts w:ascii="Arial" w:hAnsi="Arial" w:cs="Arial" w:eastAsia="Arial"/>
                    <w:b w:val="0"/>
                    <w:i w:val="0"/>
                    <w:sz w:val="18"/>
                    <w:highlight w:val="yellow"/>
                  </w:rPr>
                  <w:t>&lt;Owner&gt;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7. What must be reported to SAMA</w:t>
      </w:r>
    </w:p>
    <w:tbl>
      <w:tblPr>
        <w:tblStyle w:val="TableGrid"/>
        <w:tblW w:type="auto" w:w="0"/>
        <w:jc w:val="center"/>
        <w:tblLayout w:type="fixed"/>
        <w:tblLook w:firstColumn="1" w:firstRow="1" w:lastColumn="0" w:lastRow="0" w:noHBand="0" w:noVBand="1" w:val="04A0"/>
      </w:tblPr>
      <w:tblGrid>
        <w:gridCol w:w="4699"/>
        <w:gridCol w:w="4699"/>
        <w:gridCol w:w="4699"/>
      </w:tblGrid>
      <w:tr>
        <w:trPr>
          <w:tblHeader w:val="true"/>
        </w:trPr>
        <w:tc>
          <w:tcPr>
            <w:tcW w:type="dxa" w:w="5311"/>
            <w:shd w:val="clear" w:color="auto" w:fill="DCE6F5"/>
          </w:tcPr>
          <w:p>
            <w:pPr>
              <w:keepNext w:val="0"/>
              <w:spacing w:before="40" w:after="40" w:line="240" w:lineRule="auto"/>
            </w:pPr>
            <w:r>
              <w:rPr>
                <w:rFonts w:ascii="Arial" w:hAnsi="Arial" w:cs="Arial" w:eastAsia="Arial"/>
                <w:b/>
                <w:i w:val="0"/>
                <w:color w:val="1B253B"/>
                <w:sz w:val="18"/>
              </w:rPr>
              <w:t>Event</w:t>
            </w:r>
          </w:p>
        </w:tc>
        <w:tc>
          <w:tcPr>
            <w:tcW w:type="dxa" w:w="3984"/>
            <w:shd w:val="clear" w:color="auto" w:fill="DCE6F5"/>
          </w:tcPr>
          <w:p>
            <w:pPr>
              <w:keepNext w:val="0"/>
              <w:spacing w:before="40" w:after="40" w:line="240" w:lineRule="auto"/>
            </w:pPr>
            <w:r>
              <w:rPr>
                <w:rFonts w:ascii="Arial" w:hAnsi="Arial" w:cs="Arial" w:eastAsia="Arial"/>
                <w:b/>
                <w:i w:val="0"/>
                <w:color w:val="1B253B"/>
                <w:sz w:val="18"/>
              </w:rPr>
              <w:t>To whom</w:t>
            </w:r>
          </w:p>
        </w:tc>
        <w:tc>
          <w:tcPr>
            <w:tcW w:type="dxa" w:w="4869"/>
            <w:shd w:val="clear" w:color="auto" w:fill="DCE6F5"/>
          </w:tcPr>
          <w:p>
            <w:pPr>
              <w:keepNext w:val="0"/>
              <w:spacing w:before="40" w:after="40" w:line="240" w:lineRule="auto"/>
            </w:pPr>
            <w:r>
              <w:rPr>
                <w:rFonts w:ascii="Arial" w:hAnsi="Arial" w:cs="Arial" w:eastAsia="Arial"/>
                <w:b/>
                <w:i w:val="0"/>
                <w:color w:val="1B253B"/>
                <w:sz w:val="18"/>
              </w:rPr>
              <w:t>When</w:t>
            </w:r>
          </w:p>
        </w:tc>
      </w:tr>
      <w:tr>
        <w:trPr>
          <w:cantSplit w:val="true"/>
        </w:trPr>
        <w:tc>
          <w:tcPr>
            <w:tcW w:type="dxa" w:w="5311"/>
          </w:tcPr>
          <w:p>
            <w:pPr>
              <w:keepNext w:val="0"/>
              <w:spacing w:before="40" w:after="40" w:line="240" w:lineRule="auto"/>
            </w:pPr>
            <w:r>
              <w:rPr>
                <w:rFonts w:ascii="Arial" w:hAnsi="Arial" w:cs="Arial" w:eastAsia="Arial"/>
                <w:b w:val="0"/>
                <w:i w:val="0"/>
                <w:sz w:val="18"/>
              </w:rPr>
              <w:t>A medium or high cyber security incident</w:t>
            </w:r>
          </w:p>
        </w:tc>
        <w:tc>
          <w:tcPr>
            <w:tcW w:type="dxa" w:w="3984"/>
          </w:tcPr>
          <w:p>
            <w:pPr>
              <w:keepNext w:val="0"/>
              <w:spacing w:before="40" w:after="40" w:line="240" w:lineRule="auto"/>
            </w:pPr>
            <w:r>
              <w:rPr>
                <w:rFonts w:ascii="Arial" w:hAnsi="Arial" w:cs="Arial" w:eastAsia="Arial"/>
                <w:b w:val="0"/>
                <w:i w:val="0"/>
                <w:sz w:val="18"/>
              </w:rPr>
              <w:t>SAMA IT Risk Supervision</w:t>
            </w:r>
          </w:p>
        </w:tc>
        <w:tc>
          <w:tcPr>
            <w:tcW w:type="dxa" w:w="4869"/>
          </w:tcPr>
          <w:p>
            <w:pPr>
              <w:keepNext w:val="0"/>
              <w:spacing w:before="40" w:after="40" w:line="240" w:lineRule="auto"/>
            </w:pPr>
            <w:r>
              <w:rPr>
                <w:rFonts w:ascii="Arial" w:hAnsi="Arial" w:cs="Arial" w:eastAsia="Arial"/>
                <w:b w:val="0"/>
                <w:i w:val="0"/>
                <w:sz w:val="18"/>
              </w:rPr>
              <w:t>Immediately it has occurred and been identified</w:t>
            </w:r>
          </w:p>
        </w:tc>
      </w:tr>
      <w:tr>
        <w:trPr>
          <w:cantSplit w:val="true"/>
        </w:trPr>
        <w:tc>
          <w:tcPr>
            <w:tcW w:type="dxa" w:w="5311"/>
          </w:tcPr>
          <w:p>
            <w:pPr>
              <w:keepNext w:val="0"/>
              <w:spacing w:before="40" w:after="40" w:line="240" w:lineRule="auto"/>
            </w:pPr>
            <w:r>
              <w:rPr>
                <w:rFonts w:ascii="Arial" w:hAnsi="Arial" w:cs="Arial" w:eastAsia="Arial"/>
                <w:b w:val="0"/>
                <w:i w:val="0"/>
                <w:sz w:val="18"/>
              </w:rPr>
              <w:t>After recovery from such an incident</w:t>
            </w:r>
          </w:p>
        </w:tc>
        <w:tc>
          <w:tcPr>
            <w:tcW w:type="dxa" w:w="3984"/>
          </w:tcPr>
          <w:p>
            <w:pPr>
              <w:keepNext w:val="0"/>
              <w:spacing w:before="40" w:after="40" w:line="240" w:lineRule="auto"/>
            </w:pPr>
            <w:r>
              <w:rPr>
                <w:rFonts w:ascii="Arial" w:hAnsi="Arial" w:cs="Arial" w:eastAsia="Arial"/>
                <w:b w:val="0"/>
                <w:i w:val="0"/>
                <w:sz w:val="18"/>
              </w:rPr>
              <w:t>SAMA IT Risk Supervision</w:t>
            </w:r>
          </w:p>
        </w:tc>
        <w:tc>
          <w:tcPr>
            <w:tcW w:type="dxa" w:w="4869"/>
          </w:tcPr>
          <w:p>
            <w:pPr>
              <w:keepNext w:val="0"/>
              <w:spacing w:before="40" w:after="40" w:line="240" w:lineRule="auto"/>
            </w:pPr>
            <w:r>
              <w:rPr>
                <w:rFonts w:ascii="Arial" w:hAnsi="Arial" w:cs="Arial" w:eastAsia="Arial"/>
                <w:b w:val="0"/>
                <w:i w:val="0"/>
                <w:sz w:val="18"/>
              </w:rPr>
              <w:t>A formal incident report once operations have resumed</w:t>
            </w:r>
          </w:p>
        </w:tc>
      </w:tr>
      <w:tr>
        <w:trPr>
          <w:cantSplit w:val="true"/>
        </w:trPr>
        <w:tc>
          <w:tcPr>
            <w:tcW w:type="dxa" w:w="5311"/>
          </w:tcPr>
          <w:p>
            <w:pPr>
              <w:keepNext w:val="0"/>
              <w:spacing w:before="40" w:after="40" w:line="240" w:lineRule="auto"/>
            </w:pPr>
            <w:r>
              <w:rPr>
                <w:rFonts w:ascii="Arial" w:hAnsi="Arial" w:cs="Arial" w:eastAsia="Arial"/>
                <w:b w:val="0"/>
                <w:i w:val="0"/>
                <w:sz w:val="18"/>
              </w:rPr>
              <w:t>Any media comment on an incident</w:t>
            </w:r>
          </w:p>
        </w:tc>
        <w:tc>
          <w:tcPr>
            <w:tcW w:type="dxa" w:w="3984"/>
          </w:tcPr>
          <w:p>
            <w:pPr>
              <w:keepNext w:val="0"/>
              <w:spacing w:before="40" w:after="40" w:line="240" w:lineRule="auto"/>
            </w:pPr>
            <w:r>
              <w:rPr>
                <w:rFonts w:ascii="Arial" w:hAnsi="Arial" w:cs="Arial" w:eastAsia="Arial"/>
                <w:b w:val="0"/>
                <w:i w:val="0"/>
                <w:sz w:val="18"/>
              </w:rPr>
              <w:t>SAMA IT Risk Supervision</w:t>
            </w:r>
          </w:p>
        </w:tc>
        <w:tc>
          <w:tcPr>
            <w:tcW w:type="dxa" w:w="4869"/>
          </w:tcPr>
          <w:p>
            <w:pPr>
              <w:keepNext w:val="0"/>
              <w:spacing w:before="40" w:after="40" w:line="240" w:lineRule="auto"/>
            </w:pPr>
            <w:r>
              <w:rPr>
                <w:rFonts w:ascii="Arial" w:hAnsi="Arial" w:cs="Arial" w:eastAsia="Arial"/>
                <w:b w:val="0"/>
                <w:i w:val="0"/>
                <w:sz w:val="18"/>
              </w:rPr>
              <w:t>Its no-objection first</w:t>
            </w:r>
          </w:p>
        </w:tc>
      </w:tr>
      <w:tr>
        <w:trPr>
          <w:cantSplit w:val="true"/>
        </w:trPr>
        <w:tc>
          <w:tcPr>
            <w:tcW w:type="dxa" w:w="5311"/>
          </w:tcPr>
          <w:p>
            <w:pPr>
              <w:keepNext w:val="0"/>
              <w:spacing w:before="40" w:after="40" w:line="240" w:lineRule="auto"/>
            </w:pPr>
            <w:sdt>
              <w:sdtPr>
                <w:alias w:val="Other required report"/>
                <w:tag w:val="09.t6.r3.c0"/>
              </w:sdtPr>
              <w:sdtContent>
                <w:r>
                  <w:rPr>
                    <w:rFonts w:ascii="Arial" w:hAnsi="Arial" w:cs="Arial" w:eastAsia="Arial"/>
                    <w:b w:val="0"/>
                    <w:i w:val="0"/>
                    <w:sz w:val="18"/>
                    <w:highlight w:val="yellow"/>
                  </w:rPr>
                  <w:t>&lt;Other required report&gt;</w:t>
                </w:r>
              </w:sdtContent>
            </w:sdt>
          </w:p>
        </w:tc>
        <w:tc>
          <w:tcPr>
            <w:tcW w:type="dxa" w:w="3984"/>
          </w:tcPr>
          <w:p>
            <w:pPr>
              <w:keepNext w:val="0"/>
              <w:spacing w:before="40" w:after="40" w:line="240" w:lineRule="auto"/>
            </w:pPr>
            <w:sdt>
              <w:sdtPr>
                <w:alias w:val="Authority"/>
                <w:tag w:val="09.t6.r3.c1"/>
              </w:sdtPr>
              <w:sdtContent>
                <w:r>
                  <w:rPr>
                    <w:rFonts w:ascii="Arial" w:hAnsi="Arial" w:cs="Arial" w:eastAsia="Arial"/>
                    <w:b w:val="0"/>
                    <w:i w:val="0"/>
                    <w:sz w:val="18"/>
                    <w:highlight w:val="yellow"/>
                  </w:rPr>
                  <w:t>&lt;Authority&gt;</w:t>
                </w:r>
              </w:sdtContent>
            </w:sdt>
          </w:p>
        </w:tc>
        <w:tc>
          <w:tcPr>
            <w:tcW w:type="dxa" w:w="4869"/>
          </w:tcPr>
          <w:p>
            <w:pPr>
              <w:keepNext w:val="0"/>
              <w:spacing w:before="40" w:after="40" w:line="240" w:lineRule="auto"/>
            </w:pPr>
            <w:sdt>
              <w:sdtPr>
                <w:alias w:val="When"/>
                <w:tag w:val="09.t6.r3.c2"/>
              </w:sdtPr>
              <w:sdtContent>
                <w:r>
                  <w:rPr>
                    <w:rFonts w:ascii="Arial" w:hAnsi="Arial" w:cs="Arial" w:eastAsia="Arial"/>
                    <w:b w:val="0"/>
                    <w:i w:val="0"/>
                    <w:sz w:val="18"/>
                    <w:highlight w:val="yellow"/>
                  </w:rPr>
                  <w:t>&lt;When&gt;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09.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4699"/>
        <w:gridCol w:w="4699"/>
        <w:gridCol w:w="4699"/>
      </w:tblGrid>
      <w:tr>
        <w:trPr>
          <w:tblHeader w:val="true"/>
        </w:trPr>
        <w:tc>
          <w:tcPr>
            <w:tcW w:type="dxa" w:w="7525"/>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3984"/>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2656"/>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7525"/>
          </w:tcPr>
          <w:p>
            <w:pPr>
              <w:keepNext w:val="0"/>
              <w:spacing w:before="40" w:after="40" w:line="240" w:lineRule="auto"/>
            </w:pPr>
            <w:r>
              <w:rPr>
                <w:rFonts w:ascii="Arial" w:hAnsi="Arial" w:cs="Arial" w:eastAsia="Arial"/>
                <w:b w:val="0"/>
                <w:i w:val="0"/>
                <w:sz w:val="18"/>
              </w:rPr>
              <w:t>Requirements with a named owner and a current review date</w:t>
            </w:r>
          </w:p>
        </w:tc>
        <w:tc>
          <w:tcPr>
            <w:tcW w:type="dxa" w:w="3984"/>
          </w:tcPr>
          <w:p>
            <w:pPr>
              <w:keepNext w:val="0"/>
              <w:spacing w:before="40" w:after="40" w:line="240" w:lineRule="auto"/>
            </w:pPr>
            <w:r>
              <w:rPr>
                <w:rFonts w:ascii="Arial" w:hAnsi="Arial" w:cs="Arial" w:eastAsia="Arial"/>
                <w:b w:val="0"/>
                <w:i w:val="0"/>
                <w:sz w:val="18"/>
              </w:rPr>
              <w:t>100%</w:t>
            </w:r>
          </w:p>
        </w:tc>
        <w:tc>
          <w:tcPr>
            <w:tcW w:type="dxa" w:w="2656"/>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7525"/>
          </w:tcPr>
          <w:p>
            <w:pPr>
              <w:keepNext w:val="0"/>
              <w:spacing w:before="40" w:after="40" w:line="240" w:lineRule="auto"/>
            </w:pPr>
            <w:r>
              <w:rPr>
                <w:rFonts w:ascii="Arial" w:hAnsi="Arial" w:cs="Arial" w:eastAsia="Arial"/>
                <w:b w:val="0"/>
                <w:i w:val="0"/>
                <w:sz w:val="18"/>
              </w:rPr>
              <w:t xml:space="preserve">New requirements assessed within </w:t>
            </w:r>
            <w:sdt>
              <w:sdtPr>
                <w:alias w:val="30 days"/>
                <w:tag w:val="09.t7.r1.c0"/>
              </w:sdtPr>
              <w:sdtContent>
                <w:r>
                  <w:rPr>
                    <w:rFonts w:ascii="Arial" w:hAnsi="Arial" w:cs="Arial" w:eastAsia="Arial"/>
                    <w:b w:val="0"/>
                    <w:i w:val="0"/>
                    <w:sz w:val="18"/>
                    <w:highlight w:val="yellow"/>
                  </w:rPr>
                  <w:t>&lt;30 days&gt;</w:t>
                </w:r>
              </w:sdtContent>
            </w:sdt>
          </w:p>
        </w:tc>
        <w:tc>
          <w:tcPr>
            <w:tcW w:type="dxa" w:w="3984"/>
          </w:tcPr>
          <w:p>
            <w:pPr>
              <w:keepNext w:val="0"/>
              <w:spacing w:before="40" w:after="40" w:line="240" w:lineRule="auto"/>
            </w:pPr>
            <w:r>
              <w:rPr>
                <w:rFonts w:ascii="Arial" w:hAnsi="Arial" w:cs="Arial" w:eastAsia="Arial"/>
                <w:b w:val="0"/>
                <w:i w:val="0"/>
                <w:sz w:val="18"/>
              </w:rPr>
              <w:t>100%</w:t>
            </w:r>
          </w:p>
        </w:tc>
        <w:tc>
          <w:tcPr>
            <w:tcW w:type="dxa" w:w="2656"/>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9.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10.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11.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7049"/>
        <w:gridCol w:w="7049"/>
      </w:tblGrid>
      <w:tr>
        <w:trPr>
          <w:tblHeader w:val="true"/>
        </w:trPr>
        <w:tc>
          <w:tcPr>
            <w:tcW w:type="dxa" w:w="1992"/>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12172"/>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992"/>
          </w:tcPr>
          <w:p>
            <w:pPr>
              <w:keepNext w:val="0"/>
              <w:spacing w:before="40" w:after="40" w:line="240" w:lineRule="auto"/>
            </w:pPr>
            <w:r>
              <w:rPr>
                <w:rFonts w:ascii="Arial" w:hAnsi="Arial" w:cs="Arial" w:eastAsia="Arial"/>
                <w:b w:val="0"/>
                <w:i w:val="0"/>
                <w:sz w:val="18"/>
              </w:rPr>
              <w:t>3.2.2.1</w:t>
            </w:r>
          </w:p>
        </w:tc>
        <w:tc>
          <w:tcPr>
            <w:tcW w:type="dxa" w:w="12172"/>
          </w:tcPr>
          <w:p>
            <w:pPr>
              <w:keepNext w:val="0"/>
              <w:spacing w:before="40" w:after="40" w:line="240" w:lineRule="auto"/>
            </w:pPr>
            <w:r>
              <w:rPr>
                <w:rFonts w:ascii="Arial" w:hAnsi="Arial" w:cs="Arial" w:eastAsia="Arial"/>
                <w:b w:val="0"/>
                <w:i w:val="0"/>
                <w:sz w:val="18"/>
              </w:rPr>
              <w:t>A process to comply with regulation that runs periodically, involves key areas and updates policy, standards and procedures</w:t>
            </w:r>
          </w:p>
        </w:tc>
      </w:tr>
      <w:tr>
        <w:trPr>
          <w:cantSplit w:val="true"/>
        </w:trPr>
        <w:tc>
          <w:tcPr>
            <w:tcW w:type="dxa" w:w="1992"/>
          </w:tcPr>
          <w:p>
            <w:pPr>
              <w:keepNext w:val="0"/>
              <w:spacing w:before="40" w:after="40" w:line="240" w:lineRule="auto"/>
            </w:pPr>
            <w:r>
              <w:rPr>
                <w:rFonts w:ascii="Arial" w:hAnsi="Arial" w:cs="Arial" w:eastAsia="Arial"/>
                <w:b w:val="0"/>
                <w:i w:val="0"/>
                <w:sz w:val="18"/>
              </w:rPr>
              <w:t>3.2.3.1</w:t>
            </w:r>
          </w:p>
        </w:tc>
        <w:tc>
          <w:tcPr>
            <w:tcW w:type="dxa" w:w="12172"/>
          </w:tcPr>
          <w:p>
            <w:pPr>
              <w:keepNext w:val="0"/>
              <w:spacing w:before="40" w:after="40" w:line="240" w:lineRule="auto"/>
            </w:pPr>
            <w:r>
              <w:rPr>
                <w:rFonts w:ascii="Arial" w:hAnsi="Arial" w:cs="Arial" w:eastAsia="Arial"/>
                <w:b w:val="0"/>
                <w:i w:val="0"/>
                <w:sz w:val="18"/>
              </w:rPr>
              <w:t>PCI DSS, EMV and the SWIFT Customer Security Controls Framework</w:t>
            </w:r>
          </w:p>
        </w:tc>
      </w:tr>
    </w:tbl>
    <w:p>
      <w:pPr>
        <w:keepNext w:val="0"/>
        <w:spacing w:before="0" w:after="80" w:line="240" w:lineRule="auto"/>
      </w:pPr>
    </w:p>
    <w:sectPr w:rsidR="00FC693F" w:rsidRPr="0006063C" w:rsidSect="00034616">
      <w:headerReference w:type="default" r:id="rId9"/>
      <w:footerReference w:type="default" r:id="rId10"/>
      <w:pgSz w:w="16834" w:h="11909"/>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7049"/>
      <w:gridCol w:w="7049"/>
    </w:tblGrid>
    <w:tr>
      <w:tc>
        <w:tcPr>
          <w:tcW w:type="dxa" w:w="11549"/>
        </w:tcPr>
        <w:p>
          <w:pPr>
            <w:keepNext w:val="0"/>
            <w:spacing w:before="0" w:after="0" w:line="240" w:lineRule="auto"/>
          </w:pPr>
          <w:r>
            <w:rPr>
              <w:rFonts w:ascii="Arial" w:hAnsi="Arial" w:cs="Arial" w:eastAsia="Arial"/>
              <w:b w:val="0"/>
              <w:i w:val="0"/>
              <w:color w:val="5B6678"/>
              <w:sz w:val="17"/>
            </w:rPr>
            <w:t>Regulatory Compliance Process and Register</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Compliance Process and Register</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