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Cyber Security Audit Plan</w:t>
      </w:r>
    </w:p>
    <w:p>
      <w:pPr>
        <w:keepNext w:val="0"/>
        <w:spacing w:before="0" w:after="200" w:line="240" w:lineRule="auto"/>
      </w:pPr>
      <w:r>
        <w:rPr>
          <w:rFonts w:ascii="Arial" w:hAnsi="Arial" w:cs="Arial" w:eastAsia="Arial"/>
          <w:b w:val="0"/>
          <w:i w:val="0"/>
          <w:color w:val="5B6678"/>
          <w:sz w:val="21"/>
        </w:rPr>
        <w:t>How independent cyber security audits are planned, carried out and followed up.</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SAMA-11</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document sets out how cyber security audits are planned and carried out 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The audits are thorough, independent and regular, and give reasonable assurance that controls are well designed, implemented and monitored.</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All cyber security controls and processes of the organisation, measured against the SAMA Cyber Security Framework and the organisation's own policy and standards.</w:t>
      </w:r>
    </w:p>
    <w:p>
      <w:pPr>
        <w:keepNext/>
        <w:spacing w:before="280" w:after="120" w:line="264" w:lineRule="auto"/>
      </w:pPr>
      <w:r>
        <w:rPr>
          <w:rFonts w:ascii="Arial" w:hAnsi="Arial" w:cs="Arial" w:eastAsia="Arial"/>
          <w:b/>
          <w:i w:val="0"/>
          <w:color w:val="1B253B"/>
          <w:sz w:val="28"/>
        </w:rPr>
        <w:t>3. Who audits</w:t>
      </w:r>
    </w:p>
    <w:p>
      <w:pPr>
        <w:keepNext w:val="0"/>
        <w:spacing w:before="0" w:after="120" w:line="276" w:lineRule="auto"/>
      </w:pPr>
      <w:r>
        <w:rPr>
          <w:rFonts w:ascii="Arial" w:hAnsi="Arial" w:cs="Arial" w:eastAsia="Arial"/>
          <w:b w:val="0"/>
          <w:i w:val="0"/>
          <w:sz w:val="21"/>
        </w:rPr>
        <w:t xml:space="preserve">The internal audit function, led by </w:t>
      </w:r>
      <w:sdt>
        <w:sdtPr>
          <w:alias w:val="Head of internal audit: name and title"/>
          <w:tag w:val="audit_head"/>
        </w:sdtPr>
        <w:sdtContent>
          <w:r>
            <w:rPr>
              <w:rFonts w:ascii="Arial" w:hAnsi="Arial" w:cs="Arial" w:eastAsia="Arial"/>
              <w:b w:val="0"/>
              <w:i w:val="0"/>
              <w:sz w:val="21"/>
              <w:highlight w:val="yellow"/>
            </w:rPr>
            <w:t>&lt;name and title&gt;</w:t>
          </w:r>
        </w:sdtContent>
      </w:sdt>
      <w:r>
        <w:rPr>
          <w:rFonts w:ascii="Arial" w:hAnsi="Arial" w:cs="Arial" w:eastAsia="Arial"/>
          <w:b w:val="0"/>
          <w:i w:val="0"/>
          <w:sz w:val="21"/>
        </w:rPr>
        <w:t>, is responsible for performing cyber security audits. It does so independently of the cyber security function and of IT. Where internal audit lacks the skills, it uses a qualified external firm, under its direction.</w:t>
      </w:r>
    </w:p>
    <w:p>
      <w:pPr>
        <w:keepNext/>
        <w:spacing w:before="280" w:after="120" w:line="264" w:lineRule="auto"/>
      </w:pPr>
      <w:r>
        <w:rPr>
          <w:rFonts w:ascii="Arial" w:hAnsi="Arial" w:cs="Arial" w:eastAsia="Arial"/>
          <w:b/>
          <w:i w:val="0"/>
          <w:color w:val="1B253B"/>
          <w:sz w:val="28"/>
        </w:rPr>
        <w:t>4. The standards audits follow</w:t>
      </w:r>
    </w:p>
    <w:p>
      <w:pPr>
        <w:pStyle w:val="ListBullet"/>
        <w:keepNext w:val="0"/>
        <w:spacing w:before="0" w:after="60" w:line="276" w:lineRule="auto"/>
        <w:ind w:left="432" w:hanging="288"/>
      </w:pPr>
      <w:r>
        <w:rPr>
          <w:rFonts w:ascii="Arial" w:hAnsi="Arial" w:cs="Arial" w:eastAsia="Arial"/>
          <w:b w:val="0"/>
          <w:i w:val="0"/>
          <w:sz w:val="21"/>
        </w:rPr>
        <w:t xml:space="preserve">Generally accepted auditing standards, </w:t>
      </w:r>
      <w:sdt>
        <w:sdtPr>
          <w:alias w:val="for example the Institute of Internal Auditors standards"/>
          <w:tag w:val="11.standard"/>
        </w:sdtPr>
        <w:sdtContent>
          <w:r>
            <w:rPr>
              <w:rFonts w:ascii="Arial" w:hAnsi="Arial" w:cs="Arial" w:eastAsia="Arial"/>
              <w:b w:val="0"/>
              <w:i w:val="0"/>
              <w:sz w:val="21"/>
              <w:highlight w:val="yellow"/>
            </w:rPr>
            <w:t>&lt;for example the Institute of Internal Auditors standards&gt;</w:t>
          </w:r>
        </w:sdtContent>
      </w:sdt>
      <w:r>
        <w:rPr>
          <w:rFonts w:ascii="Arial" w:hAnsi="Arial" w:cs="Arial" w:eastAsia="Arial"/>
          <w:b w:val="0"/>
          <w:i w:val="0"/>
          <w:sz w:val="21"/>
        </w:rPr>
        <w:t>.</w:t>
      </w:r>
    </w:p>
    <w:p>
      <w:pPr>
        <w:pStyle w:val="ListBullet"/>
        <w:keepNext w:val="0"/>
        <w:spacing w:before="0" w:after="60" w:line="276" w:lineRule="auto"/>
        <w:ind w:left="432" w:hanging="288"/>
      </w:pPr>
      <w:r>
        <w:rPr>
          <w:rFonts w:ascii="Arial" w:hAnsi="Arial" w:cs="Arial" w:eastAsia="Arial"/>
          <w:b w:val="0"/>
          <w:i w:val="0"/>
          <w:sz w:val="21"/>
        </w:rPr>
        <w:t>The SAMA Cyber Security Framework, which is the main criterion for the audit.</w:t>
      </w:r>
    </w:p>
    <w:p>
      <w:pPr>
        <w:pStyle w:val="ListBullet"/>
        <w:keepNext w:val="0"/>
        <w:spacing w:before="0" w:after="60" w:line="276" w:lineRule="auto"/>
        <w:ind w:left="432" w:hanging="288"/>
      </w:pPr>
      <w:r>
        <w:rPr>
          <w:rFonts w:ascii="Arial" w:hAnsi="Arial" w:cs="Arial" w:eastAsia="Arial"/>
          <w:b w:val="0"/>
          <w:i w:val="0"/>
          <w:sz w:val="21"/>
        </w:rPr>
        <w:t>The organisation's cyber security audit manual, which sets out the method, the working papers and the reporting format, and the audit plan.</w:t>
      </w:r>
    </w:p>
    <w:p>
      <w:pPr>
        <w:keepNext w:val="0"/>
        <w:spacing w:before="0" w:after="40" w:line="240" w:lineRule="auto"/>
      </w:pPr>
    </w:p>
    <w:p>
      <w:pPr>
        <w:keepNext/>
        <w:spacing w:before="280" w:after="120" w:line="264" w:lineRule="auto"/>
      </w:pPr>
      <w:r>
        <w:rPr>
          <w:rFonts w:ascii="Arial" w:hAnsi="Arial" w:cs="Arial" w:eastAsia="Arial"/>
          <w:b/>
          <w:i w:val="0"/>
          <w:color w:val="1B253B"/>
          <w:sz w:val="28"/>
        </w:rPr>
        <w:t>5. The audit plan</w:t>
      </w:r>
    </w:p>
    <w:p>
      <w:pPr>
        <w:keepNext w:val="0"/>
        <w:spacing w:before="0" w:after="120" w:line="276" w:lineRule="auto"/>
      </w:pPr>
      <w:r>
        <w:rPr>
          <w:rFonts w:ascii="Arial" w:hAnsi="Arial" w:cs="Arial" w:eastAsia="Arial"/>
          <w:b w:val="0"/>
          <w:i w:val="0"/>
          <w:sz w:val="21"/>
        </w:rPr>
        <w:t xml:space="preserve">Internal audit prepares the plan every year, based on risk, and the audit committee approves it. Over each cycle of </w:t>
      </w:r>
      <w:sdt>
        <w:sdtPr>
          <w:alias w:val="three years"/>
          <w:tag w:val="11.cycle"/>
        </w:sdtPr>
        <w:sdtContent>
          <w:r>
            <w:rPr>
              <w:rFonts w:ascii="Arial" w:hAnsi="Arial" w:cs="Arial" w:eastAsia="Arial"/>
              <w:b w:val="0"/>
              <w:i w:val="0"/>
              <w:sz w:val="21"/>
              <w:highlight w:val="yellow"/>
            </w:rPr>
            <w:t>&lt;three years&gt;</w:t>
          </w:r>
        </w:sdtContent>
      </w:sdt>
      <w:r>
        <w:rPr>
          <w:rFonts w:ascii="Arial" w:hAnsi="Arial" w:cs="Arial" w:eastAsia="Arial"/>
          <w:b w:val="0"/>
          <w:i w:val="0"/>
          <w:sz w:val="21"/>
        </w:rPr>
        <w:t>, every SAMA domain is audited at least once, and critical areas more often.</w:t>
      </w:r>
    </w:p>
    <w:tbl>
      <w:tblPr>
        <w:tblStyle w:val="TableGrid"/>
        <w:tblW w:type="auto" w:w="0"/>
        <w:jc w:val="center"/>
        <w:tblLayout w:type="fixed"/>
        <w:tblLook w:firstColumn="1" w:firstRow="1" w:lastColumn="0" w:lastRow="0" w:noHBand="0" w:noVBand="1" w:val="04A0"/>
        <w:tblCaption w:val="source:audits"/>
      </w:tblPr>
      <w:tblGrid>
        <w:gridCol w:w="1835"/>
        <w:gridCol w:w="1835"/>
        <w:gridCol w:w="1835"/>
        <w:gridCol w:w="1835"/>
        <w:gridCol w:w="1835"/>
      </w:tblGrid>
      <w:tr>
        <w:trPr>
          <w:tblHeader w:val="true"/>
        </w:trPr>
        <w:tc>
          <w:tcPr>
            <w:tcW w:type="dxa" w:w="1872"/>
            <w:shd w:val="clear" w:color="auto" w:fill="DCE6F5"/>
          </w:tcPr>
          <w:p>
            <w:pPr>
              <w:keepNext w:val="0"/>
              <w:spacing w:before="40" w:after="40" w:line="240" w:lineRule="auto"/>
            </w:pPr>
            <w:r>
              <w:rPr>
                <w:rFonts w:ascii="Arial" w:hAnsi="Arial" w:cs="Arial" w:eastAsia="Arial"/>
                <w:b/>
                <w:i w:val="0"/>
                <w:color w:val="1B253B"/>
                <w:sz w:val="18"/>
              </w:rPr>
              <w:t>Audit</w:t>
            </w:r>
          </w:p>
        </w:tc>
        <w:tc>
          <w:tcPr>
            <w:tcW w:type="dxa" w:w="3456"/>
            <w:shd w:val="clear" w:color="auto" w:fill="DCE6F5"/>
          </w:tcPr>
          <w:p>
            <w:pPr>
              <w:keepNext w:val="0"/>
              <w:spacing w:before="40" w:after="40" w:line="240" w:lineRule="auto"/>
            </w:pPr>
            <w:r>
              <w:rPr>
                <w:rFonts w:ascii="Arial" w:hAnsi="Arial" w:cs="Arial" w:eastAsia="Arial"/>
                <w:b/>
                <w:i w:val="0"/>
                <w:color w:val="1B253B"/>
                <w:sz w:val="18"/>
              </w:rPr>
              <w:t>Scope</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Led by</w:t>
            </w:r>
          </w:p>
        </w:tc>
        <w:tc>
          <w:tcPr>
            <w:tcW w:type="dxa" w:w="1296"/>
            <w:shd w:val="clear" w:color="auto" w:fill="DCE6F5"/>
          </w:tcPr>
          <w:p>
            <w:pPr>
              <w:keepNext w:val="0"/>
              <w:spacing w:before="40" w:after="40" w:line="240" w:lineRule="auto"/>
            </w:pPr>
            <w:r>
              <w:rPr>
                <w:rFonts w:ascii="Arial" w:hAnsi="Arial" w:cs="Arial" w:eastAsia="Arial"/>
                <w:b/>
                <w:i w:val="0"/>
                <w:color w:val="1B253B"/>
                <w:sz w:val="18"/>
              </w:rPr>
              <w:t>Planned</w:t>
            </w:r>
          </w:p>
        </w:tc>
        <w:tc>
          <w:tcPr>
            <w:tcW w:type="dxa" w:w="1152"/>
            <w:shd w:val="clear" w:color="auto" w:fill="DCE6F5"/>
          </w:tcPr>
          <w:p>
            <w:pPr>
              <w:keepNext w:val="0"/>
              <w:spacing w:before="40" w:after="40" w:line="240" w:lineRule="auto"/>
            </w:pPr>
            <w:r>
              <w:rPr>
                <w:rFonts w:ascii="Arial" w:hAnsi="Arial" w:cs="Arial" w:eastAsia="Arial"/>
                <w:b/>
                <w:i w:val="0"/>
                <w:color w:val="1B253B"/>
                <w:sz w:val="18"/>
              </w:rPr>
              <w:t>Status</w:t>
            </w:r>
          </w:p>
        </w:tc>
      </w:tr>
      <w:tr>
        <w:trPr>
          <w:cantSplit w:val="true"/>
        </w:trPr>
        <w:tc>
          <w:tcPr>
            <w:tcW w:type="dxa" w:w="1872"/>
          </w:tcPr>
          <w:p>
            <w:pPr>
              <w:keepNext w:val="0"/>
              <w:spacing w:before="40" w:after="40" w:line="240" w:lineRule="auto"/>
            </w:pPr>
            <w:r>
              <w:rPr>
                <w:rFonts w:ascii="Arial" w:hAnsi="Arial" w:cs="Arial" w:eastAsia="Arial"/>
                <w:b w:val="0"/>
                <w:i w:val="0"/>
                <w:sz w:val="18"/>
                <w:highlight w:val="yellow"/>
              </w:rPr>
              <w:t>&lt;Audit&gt;</w:t>
            </w:r>
          </w:p>
        </w:tc>
        <w:tc>
          <w:tcPr>
            <w:tcW w:type="dxa" w:w="3456"/>
          </w:tcPr>
          <w:p>
            <w:pPr>
              <w:keepNext w:val="0"/>
              <w:spacing w:before="40" w:after="40" w:line="240" w:lineRule="auto"/>
            </w:pPr>
            <w:r>
              <w:rPr>
                <w:rFonts w:ascii="Arial" w:hAnsi="Arial" w:cs="Arial" w:eastAsia="Arial"/>
                <w:b w:val="0"/>
                <w:i w:val="0"/>
                <w:sz w:val="18"/>
                <w:highlight w:val="yellow"/>
              </w:rPr>
              <w:t>&lt;Scope&gt;</w:t>
            </w:r>
          </w:p>
        </w:tc>
        <w:tc>
          <w:tcPr>
            <w:tcW w:type="dxa" w:w="1440"/>
          </w:tcPr>
          <w:p>
            <w:pPr>
              <w:keepNext w:val="0"/>
              <w:spacing w:before="40" w:after="40" w:line="240" w:lineRule="auto"/>
            </w:pPr>
            <w:r>
              <w:rPr>
                <w:rFonts w:ascii="Arial" w:hAnsi="Arial" w:cs="Arial" w:eastAsia="Arial"/>
                <w:b w:val="0"/>
                <w:i w:val="0"/>
                <w:sz w:val="18"/>
                <w:highlight w:val="yellow"/>
              </w:rPr>
              <w:t>&lt;Led by&gt;</w:t>
            </w:r>
          </w:p>
        </w:tc>
        <w:tc>
          <w:tcPr>
            <w:tcW w:type="dxa" w:w="1296"/>
          </w:tcPr>
          <w:p>
            <w:pPr>
              <w:keepNext w:val="0"/>
              <w:spacing w:before="40" w:after="40" w:line="240" w:lineRule="auto"/>
            </w:pPr>
            <w:r>
              <w:rPr>
                <w:rFonts w:ascii="Arial" w:hAnsi="Arial" w:cs="Arial" w:eastAsia="Arial"/>
                <w:b w:val="0"/>
                <w:i w:val="0"/>
                <w:sz w:val="18"/>
                <w:highlight w:val="yellow"/>
              </w:rPr>
              <w:t>&lt;Date&gt;</w:t>
            </w:r>
          </w:p>
        </w:tc>
        <w:tc>
          <w:tcPr>
            <w:tcW w:type="dxa" w:w="1152"/>
          </w:tcPr>
          <w:p>
            <w:pPr>
              <w:keepNext w:val="0"/>
              <w:spacing w:before="40" w:after="40" w:line="240" w:lineRule="auto"/>
            </w:pPr>
            <w:r>
              <w:rPr>
                <w:rFonts w:ascii="Arial" w:hAnsi="Arial" w:cs="Arial" w:eastAsia="Arial"/>
                <w:b w:val="0"/>
                <w:i w:val="0"/>
                <w:sz w:val="18"/>
                <w:highlight w:val="yellow"/>
              </w:rPr>
              <w:t>&lt;Status&gt;</w:t>
            </w:r>
          </w:p>
        </w:tc>
      </w:tr>
    </w:tbl>
    <w:p>
      <w:pPr>
        <w:keepNext w:val="0"/>
        <w:spacing w:before="0" w:after="80" w:line="240" w:lineRule="auto"/>
      </w:pPr>
    </w:p>
    <w:p>
      <w:pPr>
        <w:keepNext/>
        <w:spacing w:before="160" w:after="80" w:line="264" w:lineRule="auto"/>
      </w:pPr>
      <w:r>
        <w:rPr>
          <w:rFonts w:ascii="Arial" w:hAnsi="Arial" w:cs="Arial" w:eastAsia="Arial"/>
          <w:b/>
          <w:i w:val="0"/>
          <w:color w:val="1B253B"/>
          <w:sz w:val="23"/>
        </w:rPr>
        <w:t>Coverage over the cycle</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SAMA domain</w:t>
            </w:r>
          </w:p>
        </w:tc>
        <w:tc>
          <w:tcPr>
            <w:tcW w:type="dxa" w:w="4320"/>
            <w:shd w:val="clear" w:color="auto" w:fill="DCE6F5"/>
          </w:tcPr>
          <w:p>
            <w:pPr>
              <w:keepNext w:val="0"/>
              <w:spacing w:before="40" w:after="40" w:line="240" w:lineRule="auto"/>
            </w:pPr>
            <w:r>
              <w:rPr>
                <w:rFonts w:ascii="Arial" w:hAnsi="Arial" w:cs="Arial" w:eastAsia="Arial"/>
                <w:b/>
                <w:i w:val="0"/>
                <w:color w:val="1B253B"/>
                <w:sz w:val="18"/>
              </w:rPr>
              <w:t>Audited in</w:t>
            </w:r>
          </w:p>
        </w:tc>
      </w:tr>
      <w:tr>
        <w:trPr>
          <w:cantSplit w:val="true"/>
        </w:trPr>
        <w:tc>
          <w:tcPr>
            <w:tcW w:type="dxa" w:w="4896"/>
          </w:tcPr>
          <w:p>
            <w:pPr>
              <w:keepNext w:val="0"/>
              <w:spacing w:before="40" w:after="40" w:line="240" w:lineRule="auto"/>
            </w:pPr>
            <w:r>
              <w:rPr>
                <w:rFonts w:ascii="Arial" w:hAnsi="Arial" w:cs="Arial" w:eastAsia="Arial"/>
                <w:b w:val="0"/>
                <w:i w:val="0"/>
                <w:sz w:val="18"/>
              </w:rPr>
              <w:t>3.1 Leadership and governance</w:t>
            </w:r>
          </w:p>
        </w:tc>
        <w:tc>
          <w:tcPr>
            <w:tcW w:type="dxa" w:w="4320"/>
          </w:tcPr>
          <w:p>
            <w:pPr>
              <w:keepNext w:val="0"/>
              <w:spacing w:before="40" w:after="40" w:line="240" w:lineRule="auto"/>
            </w:pPr>
            <w:sdt>
              <w:sdtPr>
                <w:alias w:val="Period"/>
                <w:tag w:val="11.t4.r0.c1"/>
              </w:sdtPr>
              <w:sdtContent>
                <w:r>
                  <w:rPr>
                    <w:rFonts w:ascii="Arial" w:hAnsi="Arial" w:cs="Arial" w:eastAsia="Arial"/>
                    <w:b w:val="0"/>
                    <w:i w:val="0"/>
                    <w:sz w:val="18"/>
                    <w:highlight w:val="yellow"/>
                  </w:rPr>
                  <w:t>&lt;Period&gt;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3.2 Risk management and compliance</w:t>
            </w:r>
          </w:p>
        </w:tc>
        <w:tc>
          <w:tcPr>
            <w:tcW w:type="dxa" w:w="4320"/>
          </w:tcPr>
          <w:p>
            <w:pPr>
              <w:keepNext w:val="0"/>
              <w:spacing w:before="40" w:after="40" w:line="240" w:lineRule="auto"/>
            </w:pPr>
            <w:sdt>
              <w:sdtPr>
                <w:alias w:val="Period"/>
                <w:tag w:val="11.t4.r1.c1"/>
              </w:sdtPr>
              <w:sdtContent>
                <w:r>
                  <w:rPr>
                    <w:rFonts w:ascii="Arial" w:hAnsi="Arial" w:cs="Arial" w:eastAsia="Arial"/>
                    <w:b w:val="0"/>
                    <w:i w:val="0"/>
                    <w:sz w:val="18"/>
                    <w:highlight w:val="yellow"/>
                  </w:rPr>
                  <w:t>&lt;Period&gt;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3.3 Operations and technology</w:t>
            </w:r>
          </w:p>
        </w:tc>
        <w:tc>
          <w:tcPr>
            <w:tcW w:type="dxa" w:w="4320"/>
          </w:tcPr>
          <w:p>
            <w:pPr>
              <w:keepNext w:val="0"/>
              <w:spacing w:before="40" w:after="40" w:line="240" w:lineRule="auto"/>
            </w:pPr>
            <w:sdt>
              <w:sdtPr>
                <w:alias w:val="Period"/>
                <w:tag w:val="11.t4.r2.c1"/>
              </w:sdtPr>
              <w:sdtContent>
                <w:r>
                  <w:rPr>
                    <w:rFonts w:ascii="Arial" w:hAnsi="Arial" w:cs="Arial" w:eastAsia="Arial"/>
                    <w:b w:val="0"/>
                    <w:i w:val="0"/>
                    <w:sz w:val="18"/>
                    <w:highlight w:val="yellow"/>
                  </w:rPr>
                  <w:t>&lt;Period&gt;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3.4 Third party cyber security</w:t>
            </w:r>
          </w:p>
        </w:tc>
        <w:tc>
          <w:tcPr>
            <w:tcW w:type="dxa" w:w="4320"/>
          </w:tcPr>
          <w:p>
            <w:pPr>
              <w:keepNext w:val="0"/>
              <w:spacing w:before="40" w:after="40" w:line="240" w:lineRule="auto"/>
            </w:pPr>
            <w:sdt>
              <w:sdtPr>
                <w:alias w:val="Period"/>
                <w:tag w:val="11.t4.r3.c1"/>
              </w:sdtPr>
              <w:sdtContent>
                <w:r>
                  <w:rPr>
                    <w:rFonts w:ascii="Arial" w:hAnsi="Arial" w:cs="Arial" w:eastAsia="Arial"/>
                    <w:b w:val="0"/>
                    <w:i w:val="0"/>
                    <w:sz w:val="18"/>
                    <w:highlight w:val="yellow"/>
                  </w:rPr>
                  <w:t>&lt;Period&gt;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6. Carrying out an audit</w:t>
      </w:r>
    </w:p>
    <w:p>
      <w:pPr>
        <w:keepNext w:val="0"/>
        <w:spacing w:before="0" w:after="60" w:line="276" w:lineRule="auto"/>
        <w:ind w:left="504" w:hanging="403"/>
      </w:pPr>
      <w:r>
        <w:rPr>
          <w:rFonts w:ascii="Arial" w:hAnsi="Arial" w:cs="Arial" w:eastAsia="Arial"/>
          <w:b w:val="0"/>
          <w:i w:val="0"/>
          <w:sz w:val="21"/>
        </w:rPr>
        <w:t>1.  Plan: set the scope, criteria and timing, and tell the people who will be audited.</w:t>
      </w:r>
    </w:p>
    <w:p>
      <w:pPr>
        <w:keepNext w:val="0"/>
        <w:spacing w:before="0" w:after="60" w:line="276" w:lineRule="auto"/>
        <w:ind w:left="504" w:hanging="403"/>
      </w:pPr>
      <w:r>
        <w:rPr>
          <w:rFonts w:ascii="Arial" w:hAnsi="Arial" w:cs="Arial" w:eastAsia="Arial"/>
          <w:b w:val="0"/>
          <w:i w:val="0"/>
          <w:sz w:val="21"/>
        </w:rPr>
        <w:t>2.  Gather evidence: interview people, observe work, examine records and system settings.</w:t>
      </w:r>
    </w:p>
    <w:p>
      <w:pPr>
        <w:keepNext w:val="0"/>
        <w:spacing w:before="0" w:after="60" w:line="276" w:lineRule="auto"/>
        <w:ind w:left="504" w:hanging="403"/>
      </w:pPr>
      <w:r>
        <w:rPr>
          <w:rFonts w:ascii="Arial" w:hAnsi="Arial" w:cs="Arial" w:eastAsia="Arial"/>
          <w:b w:val="0"/>
          <w:i w:val="0"/>
          <w:sz w:val="21"/>
        </w:rPr>
        <w:t>3.  Assess: compare the evidence with the criteria and decide what is a finding.</w:t>
      </w:r>
    </w:p>
    <w:p>
      <w:pPr>
        <w:keepNext w:val="0"/>
        <w:spacing w:before="0" w:after="60" w:line="276" w:lineRule="auto"/>
        <w:ind w:left="504" w:hanging="403"/>
      </w:pPr>
      <w:r>
        <w:rPr>
          <w:rFonts w:ascii="Arial" w:hAnsi="Arial" w:cs="Arial" w:eastAsia="Arial"/>
          <w:b w:val="0"/>
          <w:i w:val="0"/>
          <w:sz w:val="21"/>
        </w:rPr>
        <w:t>4.  Report: send the report to the audited area, the CISO, the committee and the board's audit committee, with ratings and recommendations.</w:t>
      </w:r>
    </w:p>
    <w:p>
      <w:pPr>
        <w:keepNext w:val="0"/>
        <w:spacing w:before="0" w:after="60" w:line="276" w:lineRule="auto"/>
        <w:ind w:left="504" w:hanging="403"/>
      </w:pPr>
      <w:r>
        <w:rPr>
          <w:rFonts w:ascii="Arial" w:hAnsi="Arial" w:cs="Arial" w:eastAsia="Arial"/>
          <w:b w:val="0"/>
          <w:i w:val="0"/>
          <w:sz w:val="21"/>
        </w:rPr>
        <w:t>5.  Agree actions with owners and dates. Internal audit tracks them to closure and checks that they worked.</w:t>
      </w:r>
    </w:p>
    <w:p>
      <w:pPr>
        <w:keepNext w:val="0"/>
        <w:spacing w:before="0" w:after="40" w:line="240" w:lineRule="auto"/>
      </w:pPr>
    </w:p>
    <w:p>
      <w:pPr>
        <w:keepNext/>
        <w:spacing w:before="280" w:after="120" w:line="264" w:lineRule="auto"/>
      </w:pPr>
      <w:r>
        <w:rPr>
          <w:rFonts w:ascii="Arial" w:hAnsi="Arial" w:cs="Arial" w:eastAsia="Arial"/>
          <w:b/>
          <w:i w:val="0"/>
          <w:color w:val="1B253B"/>
          <w:sz w:val="28"/>
        </w:rPr>
        <w:t>7. Independence</w:t>
      </w:r>
    </w:p>
    <w:p>
      <w:pPr>
        <w:pStyle w:val="ListBullet"/>
        <w:keepNext w:val="0"/>
        <w:spacing w:before="0" w:after="60" w:line="276" w:lineRule="auto"/>
        <w:ind w:left="432" w:hanging="288"/>
      </w:pPr>
      <w:r>
        <w:rPr>
          <w:rFonts w:ascii="Arial" w:hAnsi="Arial" w:cs="Arial" w:eastAsia="Arial"/>
          <w:b w:val="0"/>
          <w:i w:val="0"/>
          <w:sz w:val="21"/>
        </w:rPr>
        <w:t>Auditors do not audit work they have done or controls they run.</w:t>
      </w:r>
    </w:p>
    <w:p>
      <w:pPr>
        <w:pStyle w:val="ListBullet"/>
        <w:keepNext w:val="0"/>
        <w:spacing w:before="0" w:after="60" w:line="276" w:lineRule="auto"/>
        <w:ind w:left="432" w:hanging="288"/>
      </w:pPr>
      <w:r>
        <w:rPr>
          <w:rFonts w:ascii="Arial" w:hAnsi="Arial" w:cs="Arial" w:eastAsia="Arial"/>
          <w:b w:val="0"/>
          <w:i w:val="0"/>
          <w:sz w:val="21"/>
        </w:rPr>
        <w:t xml:space="preserve">Internal audit reports to </w:t>
      </w:r>
      <w:sdt>
        <w:sdtPr>
          <w:alias w:val="the audit committee of the board"/>
          <w:tag w:val="11.reports_to"/>
        </w:sdtPr>
        <w:sdtContent>
          <w:r>
            <w:rPr>
              <w:rFonts w:ascii="Arial" w:hAnsi="Arial" w:cs="Arial" w:eastAsia="Arial"/>
              <w:b w:val="0"/>
              <w:i w:val="0"/>
              <w:sz w:val="21"/>
              <w:highlight w:val="yellow"/>
            </w:rPr>
            <w:t>&lt;the audit committee of the board&gt;</w:t>
          </w:r>
        </w:sdtContent>
      </w:sdt>
      <w:r>
        <w:rPr>
          <w:rFonts w:ascii="Arial" w:hAnsi="Arial" w:cs="Arial" w:eastAsia="Arial"/>
          <w:b w:val="0"/>
          <w:i w:val="0"/>
          <w:sz w:val="21"/>
        </w:rPr>
        <w:t>, not to the CISO or to IT.</w:t>
      </w:r>
    </w:p>
    <w:p>
      <w:pPr>
        <w:pStyle w:val="ListBullet"/>
        <w:keepNext w:val="0"/>
        <w:spacing w:before="0" w:after="60" w:line="276" w:lineRule="auto"/>
        <w:ind w:left="432" w:hanging="288"/>
      </w:pPr>
      <w:r>
        <w:rPr>
          <w:rFonts w:ascii="Arial" w:hAnsi="Arial" w:cs="Arial" w:eastAsia="Arial"/>
          <w:b w:val="0"/>
          <w:i w:val="0"/>
          <w:sz w:val="21"/>
        </w:rPr>
        <w:t>Internal audit may attend the cyber security committee as an observer only.</w:t>
      </w:r>
    </w:p>
    <w:p>
      <w:pPr>
        <w:keepNext w:val="0"/>
        <w:spacing w:before="0" w:after="40" w:line="240" w:lineRule="auto"/>
      </w:pPr>
    </w:p>
    <w:p>
      <w:pPr>
        <w:keepNext/>
        <w:spacing w:before="280" w:after="120" w:line="264" w:lineRule="auto"/>
      </w:pPr>
      <w:r>
        <w:rPr>
          <w:rFonts w:ascii="Arial" w:hAnsi="Arial" w:cs="Arial" w:eastAsia="Arial"/>
          <w:b/>
          <w:i w:val="0"/>
          <w:color w:val="1B253B"/>
          <w:sz w:val="28"/>
        </w:rPr>
        <w:t>8.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11.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Planned audits completed</w:t>
            </w:r>
          </w:p>
        </w:tc>
        <w:tc>
          <w:tcPr>
            <w:tcW w:type="dxa" w:w="2592"/>
          </w:tcPr>
          <w:p>
            <w:pPr>
              <w:keepNext w:val="0"/>
              <w:spacing w:before="40" w:after="40" w:line="240" w:lineRule="auto"/>
            </w:pPr>
            <w:sdt>
              <w:sdtPr>
                <w:alias w:val="100%"/>
                <w:tag w:val="11.t5.r0.c1"/>
              </w:sdtPr>
              <w:sdtContent>
                <w:r>
                  <w:rPr>
                    <w:rFonts w:ascii="Arial" w:hAnsi="Arial" w:cs="Arial" w:eastAsia="Arial"/>
                    <w:b w:val="0"/>
                    <w:i w:val="0"/>
                    <w:sz w:val="18"/>
                    <w:highlight w:val="yellow"/>
                  </w:rPr>
                  <w:t>&lt;100%&gt;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Audit actions closed on time</w:t>
            </w:r>
          </w:p>
        </w:tc>
        <w:tc>
          <w:tcPr>
            <w:tcW w:type="dxa" w:w="2592"/>
          </w:tcPr>
          <w:p>
            <w:pPr>
              <w:keepNext w:val="0"/>
              <w:spacing w:before="40" w:after="40" w:line="240" w:lineRule="auto"/>
            </w:pPr>
            <w:sdt>
              <w:sdtPr>
                <w:alias w:val="90%"/>
                <w:tag w:val="11.t5.r1.c1"/>
              </w:sdtPr>
              <w:sdtContent>
                <w:r>
                  <w:rPr>
                    <w:rFonts w:ascii="Arial" w:hAnsi="Arial" w:cs="Arial" w:eastAsia="Arial"/>
                    <w:b w:val="0"/>
                    <w:i w:val="0"/>
                    <w:sz w:val="18"/>
                    <w:highlight w:val="yellow"/>
                  </w:rPr>
                  <w:t>&lt;90%&gt;</w:t>
                </w:r>
              </w:sdtContent>
            </w:sdt>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9.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10.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11.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3.2.5.1</w:t>
            </w:r>
          </w:p>
        </w:tc>
        <w:tc>
          <w:tcPr>
            <w:tcW w:type="dxa" w:w="7920"/>
          </w:tcPr>
          <w:p>
            <w:pPr>
              <w:keepNext w:val="0"/>
              <w:spacing w:before="40" w:after="40" w:line="240" w:lineRule="auto"/>
            </w:pPr>
            <w:r>
              <w:rPr>
                <w:rFonts w:ascii="Arial" w:hAnsi="Arial" w:cs="Arial" w:eastAsia="Arial"/>
                <w:b w:val="0"/>
                <w:i w:val="0"/>
                <w:sz w:val="18"/>
              </w:rPr>
              <w:t>Audits independent, to generally accepted standards and the SAMA framework</w:t>
            </w:r>
          </w:p>
        </w:tc>
      </w:tr>
      <w:tr>
        <w:trPr>
          <w:cantSplit w:val="true"/>
        </w:trPr>
        <w:tc>
          <w:tcPr>
            <w:tcW w:type="dxa" w:w="1296"/>
          </w:tcPr>
          <w:p>
            <w:pPr>
              <w:keepNext w:val="0"/>
              <w:spacing w:before="40" w:after="40" w:line="240" w:lineRule="auto"/>
            </w:pPr>
            <w:r>
              <w:rPr>
                <w:rFonts w:ascii="Arial" w:hAnsi="Arial" w:cs="Arial" w:eastAsia="Arial"/>
                <w:b w:val="0"/>
                <w:i w:val="0"/>
                <w:sz w:val="18"/>
              </w:rPr>
              <w:t>3.2.5.2</w:t>
            </w:r>
          </w:p>
        </w:tc>
        <w:tc>
          <w:tcPr>
            <w:tcW w:type="dxa" w:w="7920"/>
          </w:tcPr>
          <w:p>
            <w:pPr>
              <w:keepNext w:val="0"/>
              <w:spacing w:before="40" w:after="40" w:line="240" w:lineRule="auto"/>
            </w:pPr>
            <w:r>
              <w:rPr>
                <w:rFonts w:ascii="Arial" w:hAnsi="Arial" w:cs="Arial" w:eastAsia="Arial"/>
                <w:b w:val="0"/>
                <w:i w:val="0"/>
                <w:sz w:val="18"/>
              </w:rPr>
              <w:t>Carried out according to the audit manual and the audit plan</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Cyber Security Audit Plan</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Audit Plan</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