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Human Resources Cyber Security</w:t>
      </w:r>
    </w:p>
    <w:p>
      <w:pPr>
        <w:keepNext w:val="0"/>
        <w:spacing w:before="0" w:after="200" w:line="240" w:lineRule="auto"/>
      </w:pPr>
      <w:r>
        <w:rPr>
          <w:rFonts w:ascii="Arial" w:hAnsi="Arial" w:cs="Arial" w:eastAsia="Arial"/>
          <w:b w:val="0"/>
          <w:i w:val="0"/>
          <w:color w:val="5B6678"/>
          <w:sz w:val="21"/>
        </w:rPr>
        <w:t>Security requirements for recruiting, employing, moving and releasing staff.</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SAMA-12</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builds cyber security into the human resources processes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staff agreements carry security responsibilities, and staff are screened before and during employment and handled securely when they leave.</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Every employee, contractor and temporary worker, at every stage from recruitment to leaving.</w:t>
      </w:r>
    </w:p>
    <w:p>
      <w:pPr>
        <w:keepNext/>
        <w:spacing w:before="280" w:after="120" w:line="264" w:lineRule="auto"/>
      </w:pPr>
      <w:r>
        <w:rPr>
          <w:rFonts w:ascii="Arial" w:hAnsi="Arial" w:cs="Arial" w:eastAsia="Arial"/>
          <w:b/>
          <w:i w:val="0"/>
          <w:color w:val="1B253B"/>
          <w:sz w:val="28"/>
        </w:rPr>
        <w:t>3. The employment lifecycle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304"/>
            <w:shd w:val="clear" w:color="auto" w:fill="DCE6F5"/>
          </w:tcPr>
          <w:p>
            <w:pPr>
              <w:keepNext w:val="0"/>
              <w:spacing w:before="40" w:after="40" w:line="240" w:lineRule="auto"/>
            </w:pPr>
            <w:r>
              <w:rPr>
                <w:rFonts w:ascii="Arial" w:hAnsi="Arial" w:cs="Arial" w:eastAsia="Arial"/>
                <w:b/>
                <w:i w:val="0"/>
                <w:color w:val="1B253B"/>
                <w:sz w:val="18"/>
              </w:rPr>
              <w:t>Stage</w:t>
            </w:r>
          </w:p>
        </w:tc>
        <w:tc>
          <w:tcPr>
            <w:tcW w:type="dxa" w:w="6912"/>
            <w:shd w:val="clear" w:color="auto" w:fill="DCE6F5"/>
          </w:tcPr>
          <w:p>
            <w:pPr>
              <w:keepNext w:val="0"/>
              <w:spacing w:before="40" w:after="40" w:line="240" w:lineRule="auto"/>
            </w:pPr>
            <w:r>
              <w:rPr>
                <w:rFonts w:ascii="Arial" w:hAnsi="Arial" w:cs="Arial" w:eastAsia="Arial"/>
                <w:b/>
                <w:i w:val="0"/>
                <w:color w:val="1B253B"/>
                <w:sz w:val="18"/>
              </w:rPr>
              <w:t>What HR and the CISO make sure of</w:t>
            </w:r>
          </w:p>
        </w:tc>
      </w:tr>
      <w:tr>
        <w:trPr>
          <w:cantSplit w:val="true"/>
        </w:trPr>
        <w:tc>
          <w:tcPr>
            <w:tcW w:type="dxa" w:w="2304"/>
          </w:tcPr>
          <w:p>
            <w:pPr>
              <w:keepNext w:val="0"/>
              <w:spacing w:before="40" w:after="40" w:line="240" w:lineRule="auto"/>
            </w:pPr>
            <w:r>
              <w:rPr>
                <w:rFonts w:ascii="Arial" w:hAnsi="Arial" w:cs="Arial" w:eastAsia="Arial"/>
                <w:b w:val="0"/>
                <w:i w:val="0"/>
                <w:sz w:val="18"/>
              </w:rPr>
              <w:t>Before employment</w:t>
            </w:r>
          </w:p>
        </w:tc>
        <w:tc>
          <w:tcPr>
            <w:tcW w:type="dxa" w:w="6912"/>
          </w:tcPr>
          <w:p>
            <w:pPr>
              <w:keepNext w:val="0"/>
              <w:spacing w:before="40" w:after="40" w:line="240" w:lineRule="auto"/>
            </w:pPr>
            <w:r>
              <w:rPr>
                <w:rFonts w:ascii="Arial" w:hAnsi="Arial" w:cs="Arial" w:eastAsia="Arial"/>
                <w:b w:val="0"/>
                <w:i w:val="0"/>
                <w:sz w:val="18"/>
              </w:rPr>
              <w:t xml:space="preserve">Screening and background checks, in line with the law and the sensitivity of the role: identity, qualifications, employment history, </w:t>
            </w:r>
            <w:sdt>
              <w:sdtPr>
                <w:alias w:val="criminal record and references"/>
                <w:tag w:val="12.checks"/>
              </w:sdtPr>
              <w:sdtContent>
                <w:r>
                  <w:rPr>
                    <w:rFonts w:ascii="Arial" w:hAnsi="Arial" w:cs="Arial" w:eastAsia="Arial"/>
                    <w:b w:val="0"/>
                    <w:i w:val="0"/>
                    <w:sz w:val="18"/>
                    <w:highlight w:val="yellow"/>
                  </w:rPr>
                  <w:t>&lt;criminal record and references&gt;</w:t>
                </w:r>
              </w:sdtContent>
            </w:sdt>
            <w:r>
              <w:rPr>
                <w:rFonts w:ascii="Arial" w:hAnsi="Arial" w:cs="Arial" w:eastAsia="Arial"/>
                <w:b w:val="0"/>
                <w:i w:val="0"/>
                <w:sz w:val="18"/>
              </w:rPr>
              <w:t>. The checks are deeper for key and privileged roles.</w:t>
            </w:r>
          </w:p>
        </w:tc>
      </w:tr>
      <w:tr>
        <w:trPr>
          <w:cantSplit w:val="true"/>
        </w:trPr>
        <w:tc>
          <w:tcPr>
            <w:tcW w:type="dxa" w:w="2304"/>
          </w:tcPr>
          <w:p>
            <w:pPr>
              <w:keepNext w:val="0"/>
              <w:spacing w:before="40" w:after="40" w:line="240" w:lineRule="auto"/>
            </w:pPr>
            <w:r>
              <w:rPr>
                <w:rFonts w:ascii="Arial" w:hAnsi="Arial" w:cs="Arial" w:eastAsia="Arial"/>
                <w:b w:val="0"/>
                <w:i w:val="0"/>
                <w:sz w:val="18"/>
              </w:rPr>
              <w:t>Joining</w:t>
            </w:r>
          </w:p>
        </w:tc>
        <w:tc>
          <w:tcPr>
            <w:tcW w:type="dxa" w:w="6912"/>
          </w:tcPr>
          <w:p>
            <w:pPr>
              <w:keepNext w:val="0"/>
              <w:spacing w:before="40" w:after="40" w:line="240" w:lineRule="auto"/>
            </w:pPr>
            <w:r>
              <w:rPr>
                <w:rFonts w:ascii="Arial" w:hAnsi="Arial" w:cs="Arial" w:eastAsia="Arial"/>
                <w:b w:val="0"/>
                <w:i w:val="0"/>
                <w:sz w:val="18"/>
              </w:rPr>
              <w:t>A staff agreement with security responsibilities and non-disclosure clauses. Security awareness at the start of employment (SAMA-06). Access given through the access process (SAMA-16).</w:t>
            </w:r>
          </w:p>
        </w:tc>
      </w:tr>
      <w:tr>
        <w:trPr>
          <w:cantSplit w:val="true"/>
        </w:trPr>
        <w:tc>
          <w:tcPr>
            <w:tcW w:type="dxa" w:w="2304"/>
          </w:tcPr>
          <w:p>
            <w:pPr>
              <w:keepNext w:val="0"/>
              <w:spacing w:before="40" w:after="40" w:line="240" w:lineRule="auto"/>
            </w:pPr>
            <w:r>
              <w:rPr>
                <w:rFonts w:ascii="Arial" w:hAnsi="Arial" w:cs="Arial" w:eastAsia="Arial"/>
                <w:b w:val="0"/>
                <w:i w:val="0"/>
                <w:sz w:val="18"/>
              </w:rPr>
              <w:t>During employment</w:t>
            </w:r>
          </w:p>
        </w:tc>
        <w:tc>
          <w:tcPr>
            <w:tcW w:type="dxa" w:w="6912"/>
          </w:tcPr>
          <w:p>
            <w:pPr>
              <w:keepNext w:val="0"/>
              <w:spacing w:before="40" w:after="40" w:line="240" w:lineRule="auto"/>
            </w:pPr>
            <w:r>
              <w:rPr>
                <w:rFonts w:ascii="Arial" w:hAnsi="Arial" w:cs="Arial" w:eastAsia="Arial"/>
                <w:b w:val="0"/>
                <w:i w:val="0"/>
                <w:sz w:val="18"/>
              </w:rPr>
              <w:t xml:space="preserve">Awareness and role-based training. Checks repeated for sensitive roles </w:t>
            </w:r>
            <w:sdt>
              <w:sdtPr>
                <w:alias w:val="every three years"/>
                <w:tag w:val="12.recheck"/>
              </w:sdtPr>
              <w:sdtContent>
                <w:r>
                  <w:rPr>
                    <w:rFonts w:ascii="Arial" w:hAnsi="Arial" w:cs="Arial" w:eastAsia="Arial"/>
                    <w:b w:val="0"/>
                    <w:i w:val="0"/>
                    <w:sz w:val="18"/>
                    <w:highlight w:val="yellow"/>
                  </w:rPr>
                  <w:t>&lt;every three years&gt;</w:t>
                </w:r>
              </w:sdtContent>
            </w:sdt>
            <w:r>
              <w:rPr>
                <w:rFonts w:ascii="Arial" w:hAnsi="Arial" w:cs="Arial" w:eastAsia="Arial"/>
                <w:b w:val="0"/>
                <w:i w:val="0"/>
                <w:sz w:val="18"/>
              </w:rPr>
              <w:t>. Security responsibilities kept in the job description.</w:t>
            </w:r>
          </w:p>
        </w:tc>
      </w:tr>
      <w:tr>
        <w:trPr>
          <w:cantSplit w:val="true"/>
        </w:trPr>
        <w:tc>
          <w:tcPr>
            <w:tcW w:type="dxa" w:w="2304"/>
          </w:tcPr>
          <w:p>
            <w:pPr>
              <w:keepNext w:val="0"/>
              <w:spacing w:before="40" w:after="40" w:line="240" w:lineRule="auto"/>
            </w:pPr>
            <w:r>
              <w:rPr>
                <w:rFonts w:ascii="Arial" w:hAnsi="Arial" w:cs="Arial" w:eastAsia="Arial"/>
                <w:b w:val="0"/>
                <w:i w:val="0"/>
                <w:sz w:val="18"/>
              </w:rPr>
              <w:t>Disciplinary action</w:t>
            </w:r>
          </w:p>
        </w:tc>
        <w:tc>
          <w:tcPr>
            <w:tcW w:type="dxa" w:w="6912"/>
          </w:tcPr>
          <w:p>
            <w:pPr>
              <w:keepNext w:val="0"/>
              <w:spacing w:before="40" w:after="40" w:line="240" w:lineRule="auto"/>
            </w:pPr>
            <w:r>
              <w:rPr>
                <w:rFonts w:ascii="Arial" w:hAnsi="Arial" w:cs="Arial" w:eastAsia="Arial"/>
                <w:b w:val="0"/>
                <w:i w:val="0"/>
                <w:sz w:val="18"/>
              </w:rPr>
              <w:t>A breach of cyber security rules leads to disciplinary action as set out below.</w:t>
            </w:r>
          </w:p>
        </w:tc>
      </w:tr>
      <w:tr>
        <w:trPr>
          <w:cantSplit w:val="true"/>
        </w:trPr>
        <w:tc>
          <w:tcPr>
            <w:tcW w:type="dxa" w:w="2304"/>
          </w:tcPr>
          <w:p>
            <w:pPr>
              <w:keepNext w:val="0"/>
              <w:spacing w:before="40" w:after="40" w:line="240" w:lineRule="auto"/>
            </w:pPr>
            <w:r>
              <w:rPr>
                <w:rFonts w:ascii="Arial" w:hAnsi="Arial" w:cs="Arial" w:eastAsia="Arial"/>
                <w:b w:val="0"/>
                <w:i w:val="0"/>
                <w:sz w:val="18"/>
              </w:rPr>
              <w:t>Moving role</w:t>
            </w:r>
          </w:p>
        </w:tc>
        <w:tc>
          <w:tcPr>
            <w:tcW w:type="dxa" w:w="6912"/>
          </w:tcPr>
          <w:p>
            <w:pPr>
              <w:keepNext w:val="0"/>
              <w:spacing w:before="40" w:after="40" w:line="240" w:lineRule="auto"/>
            </w:pPr>
            <w:r>
              <w:rPr>
                <w:rFonts w:ascii="Arial" w:hAnsi="Arial" w:cs="Arial" w:eastAsia="Arial"/>
                <w:b w:val="0"/>
                <w:i w:val="0"/>
                <w:sz w:val="18"/>
              </w:rPr>
              <w:t>Access is reviewed and changed by the new manager and HR (SAMA-16).</w:t>
            </w:r>
          </w:p>
        </w:tc>
      </w:tr>
      <w:tr>
        <w:trPr>
          <w:cantSplit w:val="true"/>
        </w:trPr>
        <w:tc>
          <w:tcPr>
            <w:tcW w:type="dxa" w:w="2304"/>
          </w:tcPr>
          <w:p>
            <w:pPr>
              <w:keepNext w:val="0"/>
              <w:spacing w:before="40" w:after="40" w:line="240" w:lineRule="auto"/>
            </w:pPr>
            <w:r>
              <w:rPr>
                <w:rFonts w:ascii="Arial" w:hAnsi="Arial" w:cs="Arial" w:eastAsia="Arial"/>
                <w:b w:val="0"/>
                <w:i w:val="0"/>
                <w:sz w:val="18"/>
              </w:rPr>
              <w:t>Leaving</w:t>
            </w:r>
          </w:p>
        </w:tc>
        <w:tc>
          <w:tcPr>
            <w:tcW w:type="dxa" w:w="6912"/>
          </w:tcPr>
          <w:p>
            <w:pPr>
              <w:keepNext w:val="0"/>
              <w:spacing w:before="40" w:after="40" w:line="240" w:lineRule="auto"/>
            </w:pPr>
            <w:r>
              <w:rPr>
                <w:rFonts w:ascii="Arial" w:hAnsi="Arial" w:cs="Arial" w:eastAsia="Arial"/>
                <w:b w:val="0"/>
                <w:i w:val="0"/>
                <w:sz w:val="18"/>
              </w:rPr>
              <w:t>Access is revoked on the last day. Badges, tokens, mobile devices and all electronic and physical information are returned. The reminder of confidentiality duties is signed.</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Staff agreements</w:t>
      </w:r>
    </w:p>
    <w:p>
      <w:pPr>
        <w:keepNext w:val="0"/>
        <w:spacing w:before="0" w:after="120" w:line="276" w:lineRule="auto"/>
      </w:pPr>
      <w:r>
        <w:rPr>
          <w:rFonts w:ascii="Arial" w:hAnsi="Arial" w:cs="Arial" w:eastAsia="Arial"/>
          <w:b w:val="0"/>
          <w:i w:val="0"/>
          <w:sz w:val="21"/>
        </w:rPr>
        <w:t xml:space="preserve">Every agreement states that the person must follow the cyber security policy, standards and procedures, must keep information confidential, and must report incidents. The non-disclosure duty continues after employment ends, for </w:t>
      </w:r>
      <w:sdt>
        <w:sdtPr>
          <w:alias w:val="as long as the information remains confidential"/>
          <w:tag w:val="12.nda_period"/>
        </w:sdtPr>
        <w:sdtContent>
          <w:r>
            <w:rPr>
              <w:rFonts w:ascii="Arial" w:hAnsi="Arial" w:cs="Arial" w:eastAsia="Arial"/>
              <w:b w:val="0"/>
              <w:i w:val="0"/>
              <w:sz w:val="21"/>
              <w:highlight w:val="yellow"/>
            </w:rPr>
            <w:t>&lt;as long as the information remains confidential&gt;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5. When disciplinary action applies</w:t>
      </w:r>
    </w:p>
    <w:p>
      <w:pPr>
        <w:pStyle w:val="ListBullet"/>
        <w:keepNext w:val="0"/>
        <w:spacing w:before="0" w:after="60" w:line="276" w:lineRule="auto"/>
        <w:ind w:left="432" w:hanging="288"/>
      </w:pPr>
      <w:r>
        <w:rPr>
          <w:rFonts w:ascii="Arial" w:hAnsi="Arial" w:cs="Arial" w:eastAsia="Arial"/>
          <w:b w:val="0"/>
          <w:i w:val="0"/>
          <w:sz w:val="21"/>
        </w:rPr>
        <w:t>A deliberate breach of the policy, standards or procedures.</w:t>
      </w:r>
    </w:p>
    <w:p>
      <w:pPr>
        <w:pStyle w:val="ListBullet"/>
        <w:keepNext w:val="0"/>
        <w:spacing w:before="0" w:after="60" w:line="276" w:lineRule="auto"/>
        <w:ind w:left="432" w:hanging="288"/>
      </w:pPr>
      <w:r>
        <w:rPr>
          <w:rFonts w:ascii="Arial" w:hAnsi="Arial" w:cs="Arial" w:eastAsia="Arial"/>
          <w:b w:val="0"/>
          <w:i w:val="0"/>
          <w:sz w:val="21"/>
        </w:rPr>
        <w:t>Hiding an incident or failing to report one.</w:t>
      </w:r>
    </w:p>
    <w:p>
      <w:pPr>
        <w:pStyle w:val="ListBullet"/>
        <w:keepNext w:val="0"/>
        <w:spacing w:before="0" w:after="60" w:line="276" w:lineRule="auto"/>
        <w:ind w:left="432" w:hanging="288"/>
      </w:pPr>
      <w:r>
        <w:rPr>
          <w:rFonts w:ascii="Arial" w:hAnsi="Arial" w:cs="Arial" w:eastAsia="Arial"/>
          <w:b w:val="0"/>
          <w:i w:val="0"/>
          <w:sz w:val="21"/>
        </w:rPr>
        <w:t>Repeated carelessness after warnings and training.</w:t>
      </w:r>
    </w:p>
    <w:p>
      <w:pPr>
        <w:pStyle w:val="ListBullet"/>
        <w:keepNext w:val="0"/>
        <w:spacing w:before="0" w:after="60" w:line="276" w:lineRule="auto"/>
        <w:ind w:left="432" w:hanging="288"/>
      </w:pPr>
      <w:r>
        <w:rPr>
          <w:rFonts w:ascii="Arial" w:hAnsi="Arial" w:cs="Arial" w:eastAsia="Arial"/>
          <w:b w:val="0"/>
          <w:i w:val="0"/>
          <w:sz w:val="21"/>
        </w:rPr>
        <w:t>Misuse of access, or of customer or business information.</w:t>
      </w:r>
    </w:p>
    <w:p>
      <w:pPr>
        <w:keepNext w:val="0"/>
        <w:spacing w:before="0" w:after="40" w:line="240" w:lineRule="auto"/>
      </w:pPr>
    </w:p>
    <w:p>
      <w:pPr>
        <w:keepNext w:val="0"/>
        <w:spacing w:before="0" w:after="120" w:line="276" w:lineRule="auto"/>
      </w:pPr>
      <w:r>
        <w:rPr>
          <w:rFonts w:ascii="Arial" w:hAnsi="Arial" w:cs="Arial" w:eastAsia="Arial"/>
          <w:b w:val="0"/>
          <w:i w:val="0"/>
          <w:sz w:val="21"/>
        </w:rPr>
        <w:t>Action follows the HR disciplinary procedure. An honest report of a mistake, made promptly, is not punished.</w:t>
      </w:r>
    </w:p>
    <w:p>
      <w:pPr>
        <w:keepNext/>
        <w:spacing w:before="280" w:after="120" w:line="264" w:lineRule="auto"/>
      </w:pPr>
      <w:r>
        <w:rPr>
          <w:rFonts w:ascii="Arial" w:hAnsi="Arial" w:cs="Arial" w:eastAsia="Arial"/>
          <w:b/>
          <w:i w:val="0"/>
          <w:color w:val="1B253B"/>
          <w:sz w:val="28"/>
        </w:rPr>
        <w:t>6. Leaving the organisation</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Step</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Who</w:t>
            </w:r>
          </w:p>
        </w:tc>
        <w:tc>
          <w:tcPr>
            <w:tcW w:type="dxa" w:w="2304"/>
            <w:shd w:val="clear" w:color="auto" w:fill="DCE6F5"/>
          </w:tcPr>
          <w:p>
            <w:pPr>
              <w:keepNext w:val="0"/>
              <w:spacing w:before="40" w:after="40" w:line="240" w:lineRule="auto"/>
            </w:pPr>
            <w:r>
              <w:rPr>
                <w:rFonts w:ascii="Arial" w:hAnsi="Arial" w:cs="Arial" w:eastAsia="Arial"/>
                <w:b/>
                <w:i w:val="0"/>
                <w:color w:val="1B253B"/>
                <w:sz w:val="18"/>
              </w:rPr>
              <w:t>When</w:t>
            </w:r>
          </w:p>
        </w:tc>
      </w:tr>
      <w:tr>
        <w:trPr>
          <w:cantSplit w:val="true"/>
        </w:trPr>
        <w:tc>
          <w:tcPr>
            <w:tcW w:type="dxa" w:w="4896"/>
          </w:tcPr>
          <w:p>
            <w:pPr>
              <w:keepNext w:val="0"/>
              <w:spacing w:before="40" w:after="40" w:line="240" w:lineRule="auto"/>
            </w:pPr>
            <w:r>
              <w:rPr>
                <w:rFonts w:ascii="Arial" w:hAnsi="Arial" w:cs="Arial" w:eastAsia="Arial"/>
                <w:b w:val="0"/>
                <w:i w:val="0"/>
                <w:sz w:val="18"/>
              </w:rPr>
              <w:t>Tell the CISO's team and IT the date and the leaver's accounts</w:t>
            </w:r>
          </w:p>
        </w:tc>
        <w:tc>
          <w:tcPr>
            <w:tcW w:type="dxa" w:w="2016"/>
          </w:tcPr>
          <w:p>
            <w:pPr>
              <w:keepNext w:val="0"/>
              <w:spacing w:before="40" w:after="40" w:line="240" w:lineRule="auto"/>
            </w:pPr>
            <w:r>
              <w:rPr>
                <w:rFonts w:ascii="Arial" w:hAnsi="Arial" w:cs="Arial" w:eastAsia="Arial"/>
                <w:b w:val="0"/>
                <w:i w:val="0"/>
                <w:sz w:val="18"/>
              </w:rPr>
              <w:t>HR</w:t>
            </w:r>
          </w:p>
        </w:tc>
        <w:tc>
          <w:tcPr>
            <w:tcW w:type="dxa" w:w="2304"/>
          </w:tcPr>
          <w:p>
            <w:pPr>
              <w:keepNext w:val="0"/>
              <w:spacing w:before="40" w:after="40" w:line="240" w:lineRule="auto"/>
            </w:pPr>
            <w:r>
              <w:rPr>
                <w:rFonts w:ascii="Arial" w:hAnsi="Arial" w:cs="Arial" w:eastAsia="Arial"/>
                <w:b w:val="0"/>
                <w:i w:val="0"/>
                <w:sz w:val="18"/>
              </w:rPr>
              <w:t>Before the last day</w:t>
            </w:r>
          </w:p>
        </w:tc>
      </w:tr>
      <w:tr>
        <w:trPr>
          <w:cantSplit w:val="true"/>
        </w:trPr>
        <w:tc>
          <w:tcPr>
            <w:tcW w:type="dxa" w:w="4896"/>
          </w:tcPr>
          <w:p>
            <w:pPr>
              <w:keepNext w:val="0"/>
              <w:spacing w:before="40" w:after="40" w:line="240" w:lineRule="auto"/>
            </w:pPr>
            <w:r>
              <w:rPr>
                <w:rFonts w:ascii="Arial" w:hAnsi="Arial" w:cs="Arial" w:eastAsia="Arial"/>
                <w:b w:val="0"/>
                <w:i w:val="0"/>
                <w:sz w:val="18"/>
              </w:rPr>
              <w:t>Revoke all access, including remote and third-party access</w:t>
            </w:r>
          </w:p>
        </w:tc>
        <w:tc>
          <w:tcPr>
            <w:tcW w:type="dxa" w:w="2016"/>
          </w:tcPr>
          <w:p>
            <w:pPr>
              <w:keepNext w:val="0"/>
              <w:spacing w:before="40" w:after="40" w:line="240" w:lineRule="auto"/>
            </w:pPr>
            <w:r>
              <w:rPr>
                <w:rFonts w:ascii="Arial" w:hAnsi="Arial" w:cs="Arial" w:eastAsia="Arial"/>
                <w:b w:val="0"/>
                <w:i w:val="0"/>
                <w:sz w:val="18"/>
              </w:rPr>
              <w:t>IT</w:t>
            </w:r>
          </w:p>
        </w:tc>
        <w:tc>
          <w:tcPr>
            <w:tcW w:type="dxa" w:w="2304"/>
          </w:tcPr>
          <w:p>
            <w:pPr>
              <w:keepNext w:val="0"/>
              <w:spacing w:before="40" w:after="40" w:line="240" w:lineRule="auto"/>
            </w:pPr>
            <w:r>
              <w:rPr>
                <w:rFonts w:ascii="Arial" w:hAnsi="Arial" w:cs="Arial" w:eastAsia="Arial"/>
                <w:b w:val="0"/>
                <w:i w:val="0"/>
                <w:sz w:val="18"/>
              </w:rPr>
              <w:t>On the last day, immediately for a dismissal</w:t>
            </w:r>
          </w:p>
        </w:tc>
      </w:tr>
      <w:tr>
        <w:trPr>
          <w:cantSplit w:val="true"/>
        </w:trPr>
        <w:tc>
          <w:tcPr>
            <w:tcW w:type="dxa" w:w="4896"/>
          </w:tcPr>
          <w:p>
            <w:pPr>
              <w:keepNext w:val="0"/>
              <w:spacing w:before="40" w:after="40" w:line="240" w:lineRule="auto"/>
            </w:pPr>
            <w:r>
              <w:rPr>
                <w:rFonts w:ascii="Arial" w:hAnsi="Arial" w:cs="Arial" w:eastAsia="Arial"/>
                <w:b w:val="0"/>
                <w:i w:val="0"/>
                <w:sz w:val="18"/>
              </w:rPr>
              <w:t>Collect badge, token, mobile devices and equipment</w:t>
            </w:r>
          </w:p>
        </w:tc>
        <w:tc>
          <w:tcPr>
            <w:tcW w:type="dxa" w:w="2016"/>
          </w:tcPr>
          <w:p>
            <w:pPr>
              <w:keepNext w:val="0"/>
              <w:spacing w:before="40" w:after="40" w:line="240" w:lineRule="auto"/>
            </w:pPr>
            <w:r>
              <w:rPr>
                <w:rFonts w:ascii="Arial" w:hAnsi="Arial" w:cs="Arial" w:eastAsia="Arial"/>
                <w:b w:val="0"/>
                <w:i w:val="0"/>
                <w:sz w:val="18"/>
              </w:rPr>
              <w:t>Line manager</w:t>
            </w:r>
          </w:p>
        </w:tc>
        <w:tc>
          <w:tcPr>
            <w:tcW w:type="dxa" w:w="2304"/>
          </w:tcPr>
          <w:p>
            <w:pPr>
              <w:keepNext w:val="0"/>
              <w:spacing w:before="40" w:after="40" w:line="240" w:lineRule="auto"/>
            </w:pPr>
            <w:r>
              <w:rPr>
                <w:rFonts w:ascii="Arial" w:hAnsi="Arial" w:cs="Arial" w:eastAsia="Arial"/>
                <w:b w:val="0"/>
                <w:i w:val="0"/>
                <w:sz w:val="18"/>
              </w:rPr>
              <w:t>Last day</w:t>
            </w:r>
          </w:p>
        </w:tc>
      </w:tr>
      <w:tr>
        <w:trPr>
          <w:cantSplit w:val="true"/>
        </w:trPr>
        <w:tc>
          <w:tcPr>
            <w:tcW w:type="dxa" w:w="4896"/>
          </w:tcPr>
          <w:p>
            <w:pPr>
              <w:keepNext w:val="0"/>
              <w:spacing w:before="40" w:after="40" w:line="240" w:lineRule="auto"/>
            </w:pPr>
            <w:r>
              <w:rPr>
                <w:rFonts w:ascii="Arial" w:hAnsi="Arial" w:cs="Arial" w:eastAsia="Arial"/>
                <w:b w:val="0"/>
                <w:i w:val="0"/>
                <w:sz w:val="18"/>
              </w:rPr>
              <w:t>Recover information: files, email, papers</w:t>
            </w:r>
          </w:p>
        </w:tc>
        <w:tc>
          <w:tcPr>
            <w:tcW w:type="dxa" w:w="2016"/>
          </w:tcPr>
          <w:p>
            <w:pPr>
              <w:keepNext w:val="0"/>
              <w:spacing w:before="40" w:after="40" w:line="240" w:lineRule="auto"/>
            </w:pPr>
            <w:r>
              <w:rPr>
                <w:rFonts w:ascii="Arial" w:hAnsi="Arial" w:cs="Arial" w:eastAsia="Arial"/>
                <w:b w:val="0"/>
                <w:i w:val="0"/>
                <w:sz w:val="18"/>
              </w:rPr>
              <w:t>Line manager</w:t>
            </w:r>
          </w:p>
        </w:tc>
        <w:tc>
          <w:tcPr>
            <w:tcW w:type="dxa" w:w="2304"/>
          </w:tcPr>
          <w:p>
            <w:pPr>
              <w:keepNext w:val="0"/>
              <w:spacing w:before="40" w:after="40" w:line="240" w:lineRule="auto"/>
            </w:pPr>
            <w:r>
              <w:rPr>
                <w:rFonts w:ascii="Arial" w:hAnsi="Arial" w:cs="Arial" w:eastAsia="Arial"/>
                <w:b w:val="0"/>
                <w:i w:val="0"/>
                <w:sz w:val="18"/>
              </w:rPr>
              <w:t>Last day</w:t>
            </w:r>
          </w:p>
        </w:tc>
      </w:tr>
      <w:tr>
        <w:trPr>
          <w:cantSplit w:val="true"/>
        </w:trPr>
        <w:tc>
          <w:tcPr>
            <w:tcW w:type="dxa" w:w="4896"/>
          </w:tcPr>
          <w:p>
            <w:pPr>
              <w:keepNext w:val="0"/>
              <w:spacing w:before="40" w:after="40" w:line="240" w:lineRule="auto"/>
            </w:pPr>
            <w:r>
              <w:rPr>
                <w:rFonts w:ascii="Arial" w:hAnsi="Arial" w:cs="Arial" w:eastAsia="Arial"/>
                <w:b w:val="0"/>
                <w:i w:val="0"/>
                <w:sz w:val="18"/>
              </w:rPr>
              <w:t>Confirm in writing that everything is done</w:t>
            </w:r>
          </w:p>
        </w:tc>
        <w:tc>
          <w:tcPr>
            <w:tcW w:type="dxa" w:w="2016"/>
          </w:tcPr>
          <w:p>
            <w:pPr>
              <w:keepNext w:val="0"/>
              <w:spacing w:before="40" w:after="40" w:line="240" w:lineRule="auto"/>
            </w:pPr>
            <w:r>
              <w:rPr>
                <w:rFonts w:ascii="Arial" w:hAnsi="Arial" w:cs="Arial" w:eastAsia="Arial"/>
                <w:b w:val="0"/>
                <w:i w:val="0"/>
                <w:sz w:val="18"/>
              </w:rPr>
              <w:t>HR</w:t>
            </w:r>
          </w:p>
        </w:tc>
        <w:tc>
          <w:tcPr>
            <w:tcW w:type="dxa" w:w="2304"/>
          </w:tcPr>
          <w:p>
            <w:pPr>
              <w:keepNext w:val="0"/>
              <w:spacing w:before="40" w:after="40" w:line="240" w:lineRule="auto"/>
            </w:pPr>
            <w:r>
              <w:rPr>
                <w:rFonts w:ascii="Arial" w:hAnsi="Arial" w:cs="Arial" w:eastAsia="Arial"/>
                <w:b w:val="0"/>
                <w:i w:val="0"/>
                <w:sz w:val="18"/>
              </w:rPr>
              <w:t xml:space="preserve">Within </w:t>
            </w:r>
            <w:sdt>
              <w:sdtPr>
                <w:alias w:val="two working days"/>
                <w:tag w:val="12.confirm_days"/>
              </w:sdtPr>
              <w:sdtContent>
                <w:r>
                  <w:rPr>
                    <w:rFonts w:ascii="Arial" w:hAnsi="Arial" w:cs="Arial" w:eastAsia="Arial"/>
                    <w:b w:val="0"/>
                    <w:i w:val="0"/>
                    <w:sz w:val="18"/>
                    <w:highlight w:val="yellow"/>
                  </w:rPr>
                  <w:t>&lt;two working days&gt;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12.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New starters screened before access</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Leavers with access removed on the last day</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3.3.1.1</w:t>
            </w:r>
          </w:p>
        </w:tc>
        <w:tc>
          <w:tcPr>
            <w:tcW w:type="dxa" w:w="7920"/>
          </w:tcPr>
          <w:p>
            <w:pPr>
              <w:keepNext w:val="0"/>
              <w:spacing w:before="40" w:after="40" w:line="240" w:lineRule="auto"/>
            </w:pPr>
            <w:r>
              <w:rPr>
                <w:rFonts w:ascii="Arial" w:hAnsi="Arial" w:cs="Arial" w:eastAsia="Arial"/>
                <w:b w:val="0"/>
                <w:i w:val="0"/>
                <w:sz w:val="18"/>
              </w:rPr>
              <w:t>Cyber security requirements defined, approved and implemented in HR processes</w:t>
            </w:r>
          </w:p>
        </w:tc>
      </w:tr>
      <w:tr>
        <w:trPr>
          <w:cantSplit w:val="true"/>
        </w:trPr>
        <w:tc>
          <w:tcPr>
            <w:tcW w:type="dxa" w:w="1296"/>
          </w:tcPr>
          <w:p>
            <w:pPr>
              <w:keepNext w:val="0"/>
              <w:spacing w:before="40" w:after="40" w:line="240" w:lineRule="auto"/>
            </w:pPr>
            <w:r>
              <w:rPr>
                <w:rFonts w:ascii="Arial" w:hAnsi="Arial" w:cs="Arial" w:eastAsia="Arial"/>
                <w:b w:val="0"/>
                <w:i w:val="0"/>
                <w:sz w:val="18"/>
              </w:rPr>
              <w:t>3.3.1.2</w:t>
            </w:r>
          </w:p>
        </w:tc>
        <w:tc>
          <w:tcPr>
            <w:tcW w:type="dxa" w:w="7920"/>
          </w:tcPr>
          <w:p>
            <w:pPr>
              <w:keepNext w:val="0"/>
              <w:spacing w:before="40" w:after="40" w:line="240" w:lineRule="auto"/>
            </w:pPr>
            <w:r>
              <w:rPr>
                <w:rFonts w:ascii="Arial" w:hAnsi="Arial" w:cs="Arial" w:eastAsia="Arial"/>
                <w:b w:val="0"/>
                <w:i w:val="0"/>
                <w:sz w:val="18"/>
              </w:rPr>
              <w:t>Effectiveness of the HR process monitored,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3.3.1.3</w:t>
            </w:r>
          </w:p>
        </w:tc>
        <w:tc>
          <w:tcPr>
            <w:tcW w:type="dxa" w:w="7920"/>
          </w:tcPr>
          <w:p>
            <w:pPr>
              <w:keepNext w:val="0"/>
              <w:spacing w:before="40" w:after="40" w:line="240" w:lineRule="auto"/>
            </w:pPr>
            <w:r>
              <w:rPr>
                <w:rFonts w:ascii="Arial" w:hAnsi="Arial" w:cs="Arial" w:eastAsia="Arial"/>
                <w:b w:val="0"/>
                <w:i w:val="0"/>
                <w:sz w:val="18"/>
              </w:rPr>
              <w:t>Responsibilities and non-disclosure in agreements; awareness; discipline; screening; security at termination</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Human Resources Cyber Security</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Cyber Security</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