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Physical Security</w:t>
      </w:r>
    </w:p>
    <w:p>
      <w:pPr>
        <w:keepNext w:val="0"/>
        <w:spacing w:before="0" w:after="200" w:line="240" w:lineRule="auto"/>
      </w:pPr>
      <w:r>
        <w:rPr>
          <w:rFonts w:ascii="Arial" w:hAnsi="Arial" w:cs="Arial" w:eastAsia="Arial"/>
          <w:b w:val="0"/>
          <w:i w:val="0"/>
          <w:color w:val="5B6678"/>
          <w:sz w:val="21"/>
        </w:rPr>
        <w:t>How facilities that host information assets are protected from unauthorised physical access.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SAMA-13</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document protects every facility that hosts information assets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xml:space="preserve"> against deliberate and accidental events, to prevent unauthorised physical access.</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Head office, branches, data centres, disaster recovery sites, data rooms, ATMs and any other place that holds or processes information assets.</w:t>
      </w:r>
    </w:p>
    <w:p>
      <w:pPr>
        <w:keepNext/>
        <w:spacing w:before="280" w:after="120" w:line="264" w:lineRule="auto"/>
      </w:pPr>
      <w:r>
        <w:rPr>
          <w:rFonts w:ascii="Arial" w:hAnsi="Arial" w:cs="Arial" w:eastAsia="Arial"/>
          <w:b/>
          <w:i w:val="0"/>
          <w:color w:val="1B253B"/>
          <w:sz w:val="28"/>
        </w:rPr>
        <w:t>3. What physical security includes</w:t>
      </w:r>
    </w:p>
    <w:p>
      <w:pPr>
        <w:pStyle w:val="ListBullet"/>
        <w:keepNext w:val="0"/>
        <w:spacing w:before="0" w:after="60" w:line="276" w:lineRule="auto"/>
        <w:ind w:left="432" w:hanging="288"/>
      </w:pPr>
      <w:r>
        <w:rPr>
          <w:rFonts w:ascii="Arial" w:hAnsi="Arial" w:cs="Arial" w:eastAsia="Arial"/>
          <w:b w:val="0"/>
          <w:i w:val="0"/>
          <w:sz w:val="21"/>
        </w:rPr>
        <w:t>Entry controls, including controls for visitors.</w:t>
      </w:r>
    </w:p>
    <w:p>
      <w:pPr>
        <w:pStyle w:val="ListBullet"/>
        <w:keepNext w:val="0"/>
        <w:spacing w:before="0" w:after="60" w:line="276" w:lineRule="auto"/>
        <w:ind w:left="432" w:hanging="288"/>
      </w:pPr>
      <w:r>
        <w:rPr>
          <w:rFonts w:ascii="Arial" w:hAnsi="Arial" w:cs="Arial" w:eastAsia="Arial"/>
          <w:b w:val="0"/>
          <w:i w:val="0"/>
          <w:sz w:val="21"/>
        </w:rPr>
        <w:t>Monitoring and surveillance: CCTV, GPS tracking of ATMs, and sensors.</w:t>
      </w:r>
    </w:p>
    <w:p>
      <w:pPr>
        <w:pStyle w:val="ListBullet"/>
        <w:keepNext w:val="0"/>
        <w:spacing w:before="0" w:after="60" w:line="276" w:lineRule="auto"/>
        <w:ind w:left="432" w:hanging="288"/>
      </w:pPr>
      <w:r>
        <w:rPr>
          <w:rFonts w:ascii="Arial" w:hAnsi="Arial" w:cs="Arial" w:eastAsia="Arial"/>
          <w:b w:val="0"/>
          <w:i w:val="0"/>
          <w:sz w:val="21"/>
        </w:rPr>
        <w:t>Protection of data centres and data rooms.</w:t>
      </w:r>
    </w:p>
    <w:p>
      <w:pPr>
        <w:pStyle w:val="ListBullet"/>
        <w:keepNext w:val="0"/>
        <w:spacing w:before="0" w:after="60" w:line="276" w:lineRule="auto"/>
        <w:ind w:left="432" w:hanging="288"/>
      </w:pPr>
      <w:r>
        <w:rPr>
          <w:rFonts w:ascii="Arial" w:hAnsi="Arial" w:cs="Arial" w:eastAsia="Arial"/>
          <w:b w:val="0"/>
          <w:i w:val="0"/>
          <w:sz w:val="21"/>
        </w:rPr>
        <w:t>Environmental protection.</w:t>
      </w:r>
    </w:p>
    <w:p>
      <w:pPr>
        <w:pStyle w:val="ListBullet"/>
        <w:keepNext w:val="0"/>
        <w:spacing w:before="0" w:after="60" w:line="276" w:lineRule="auto"/>
        <w:ind w:left="432" w:hanging="288"/>
      </w:pPr>
      <w:r>
        <w:rPr>
          <w:rFonts w:ascii="Arial" w:hAnsi="Arial" w:cs="Arial" w:eastAsia="Arial"/>
          <w:b w:val="0"/>
          <w:i w:val="0"/>
          <w:sz w:val="21"/>
        </w:rPr>
        <w:t>Protection of information assets through their whole life, including transport and secure disposal.</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Security zones</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1584"/>
            <w:shd w:val="clear" w:color="auto" w:fill="DCE6F5"/>
          </w:tcPr>
          <w:p>
            <w:pPr>
              <w:keepNext w:val="0"/>
              <w:spacing w:before="40" w:after="40" w:line="240" w:lineRule="auto"/>
            </w:pPr>
            <w:r>
              <w:rPr>
                <w:rFonts w:ascii="Arial" w:hAnsi="Arial" w:cs="Arial" w:eastAsia="Arial"/>
                <w:b/>
                <w:i w:val="0"/>
                <w:color w:val="1B253B"/>
                <w:sz w:val="18"/>
              </w:rPr>
              <w:t>Zone</w:t>
            </w:r>
          </w:p>
        </w:tc>
        <w:tc>
          <w:tcPr>
            <w:tcW w:type="dxa" w:w="3168"/>
            <w:shd w:val="clear" w:color="auto" w:fill="DCE6F5"/>
          </w:tcPr>
          <w:p>
            <w:pPr>
              <w:keepNext w:val="0"/>
              <w:spacing w:before="40" w:after="40" w:line="240" w:lineRule="auto"/>
            </w:pPr>
            <w:r>
              <w:rPr>
                <w:rFonts w:ascii="Arial" w:hAnsi="Arial" w:cs="Arial" w:eastAsia="Arial"/>
                <w:b/>
                <w:i w:val="0"/>
                <w:color w:val="1B253B"/>
                <w:sz w:val="18"/>
              </w:rPr>
              <w:t>Examples</w:t>
            </w:r>
          </w:p>
        </w:tc>
        <w:tc>
          <w:tcPr>
            <w:tcW w:type="dxa" w:w="4464"/>
            <w:shd w:val="clear" w:color="auto" w:fill="DCE6F5"/>
          </w:tcPr>
          <w:p>
            <w:pPr>
              <w:keepNext w:val="0"/>
              <w:spacing w:before="40" w:after="40" w:line="240" w:lineRule="auto"/>
            </w:pPr>
            <w:r>
              <w:rPr>
                <w:rFonts w:ascii="Arial" w:hAnsi="Arial" w:cs="Arial" w:eastAsia="Arial"/>
                <w:b/>
                <w:i w:val="0"/>
                <w:color w:val="1B253B"/>
                <w:sz w:val="18"/>
              </w:rPr>
              <w:t>Minimum protection</w:t>
            </w:r>
          </w:p>
        </w:tc>
      </w:tr>
      <w:tr>
        <w:trPr>
          <w:cantSplit w:val="true"/>
        </w:trPr>
        <w:tc>
          <w:tcPr>
            <w:tcW w:type="dxa" w:w="1584"/>
          </w:tcPr>
          <w:p>
            <w:pPr>
              <w:keepNext w:val="0"/>
              <w:spacing w:before="40" w:after="40" w:line="240" w:lineRule="auto"/>
            </w:pPr>
            <w:r>
              <w:rPr>
                <w:rFonts w:ascii="Arial" w:hAnsi="Arial" w:cs="Arial" w:eastAsia="Arial"/>
                <w:b w:val="0"/>
                <w:i w:val="0"/>
                <w:sz w:val="18"/>
              </w:rPr>
              <w:t>Public</w:t>
            </w:r>
          </w:p>
        </w:tc>
        <w:tc>
          <w:tcPr>
            <w:tcW w:type="dxa" w:w="3168"/>
          </w:tcPr>
          <w:p>
            <w:pPr>
              <w:keepNext w:val="0"/>
              <w:spacing w:before="40" w:after="40" w:line="240" w:lineRule="auto"/>
            </w:pPr>
            <w:r>
              <w:rPr>
                <w:rFonts w:ascii="Arial" w:hAnsi="Arial" w:cs="Arial" w:eastAsia="Arial"/>
                <w:b w:val="0"/>
                <w:i w:val="0"/>
                <w:sz w:val="18"/>
              </w:rPr>
              <w:t>Reception, branch customer area</w:t>
            </w:r>
          </w:p>
        </w:tc>
        <w:tc>
          <w:tcPr>
            <w:tcW w:type="dxa" w:w="4464"/>
          </w:tcPr>
          <w:p>
            <w:pPr>
              <w:keepNext w:val="0"/>
              <w:spacing w:before="40" w:after="40" w:line="240" w:lineRule="auto"/>
            </w:pPr>
            <w:r>
              <w:rPr>
                <w:rFonts w:ascii="Arial" w:hAnsi="Arial" w:cs="Arial" w:eastAsia="Arial"/>
                <w:b w:val="0"/>
                <w:i w:val="0"/>
                <w:sz w:val="18"/>
              </w:rPr>
              <w:t>Staffed or monitored. No access to staff areas.</w:t>
            </w:r>
          </w:p>
        </w:tc>
      </w:tr>
      <w:tr>
        <w:trPr>
          <w:cantSplit w:val="true"/>
        </w:trPr>
        <w:tc>
          <w:tcPr>
            <w:tcW w:type="dxa" w:w="1584"/>
          </w:tcPr>
          <w:p>
            <w:pPr>
              <w:keepNext w:val="0"/>
              <w:spacing w:before="40" w:after="40" w:line="240" w:lineRule="auto"/>
            </w:pPr>
            <w:r>
              <w:rPr>
                <w:rFonts w:ascii="Arial" w:hAnsi="Arial" w:cs="Arial" w:eastAsia="Arial"/>
                <w:b w:val="0"/>
                <w:i w:val="0"/>
                <w:sz w:val="18"/>
              </w:rPr>
              <w:t>Staff</w:t>
            </w:r>
          </w:p>
        </w:tc>
        <w:tc>
          <w:tcPr>
            <w:tcW w:type="dxa" w:w="3168"/>
          </w:tcPr>
          <w:p>
            <w:pPr>
              <w:keepNext w:val="0"/>
              <w:spacing w:before="40" w:after="40" w:line="240" w:lineRule="auto"/>
            </w:pPr>
            <w:r>
              <w:rPr>
                <w:rFonts w:ascii="Arial" w:hAnsi="Arial" w:cs="Arial" w:eastAsia="Arial"/>
                <w:b w:val="0"/>
                <w:i w:val="0"/>
                <w:sz w:val="18"/>
              </w:rPr>
              <w:t>Offices</w:t>
            </w:r>
          </w:p>
        </w:tc>
        <w:tc>
          <w:tcPr>
            <w:tcW w:type="dxa" w:w="4464"/>
          </w:tcPr>
          <w:p>
            <w:pPr>
              <w:keepNext w:val="0"/>
              <w:spacing w:before="40" w:after="40" w:line="240" w:lineRule="auto"/>
            </w:pPr>
            <w:r>
              <w:rPr>
                <w:rFonts w:ascii="Arial" w:hAnsi="Arial" w:cs="Arial" w:eastAsia="Arial"/>
                <w:b w:val="0"/>
                <w:i w:val="0"/>
                <w:sz w:val="18"/>
              </w:rPr>
              <w:t>Badge access, visitors signed in and escorted, clear screens and desks.</w:t>
            </w:r>
          </w:p>
        </w:tc>
      </w:tr>
      <w:tr>
        <w:trPr>
          <w:cantSplit w:val="true"/>
        </w:trPr>
        <w:tc>
          <w:tcPr>
            <w:tcW w:type="dxa" w:w="1584"/>
          </w:tcPr>
          <w:p>
            <w:pPr>
              <w:keepNext w:val="0"/>
              <w:spacing w:before="40" w:after="40" w:line="240" w:lineRule="auto"/>
            </w:pPr>
            <w:r>
              <w:rPr>
                <w:rFonts w:ascii="Arial" w:hAnsi="Arial" w:cs="Arial" w:eastAsia="Arial"/>
                <w:b w:val="0"/>
                <w:i w:val="0"/>
                <w:sz w:val="18"/>
              </w:rPr>
              <w:t>Restricted</w:t>
            </w:r>
          </w:p>
        </w:tc>
        <w:tc>
          <w:tcPr>
            <w:tcW w:type="dxa" w:w="3168"/>
          </w:tcPr>
          <w:p>
            <w:pPr>
              <w:keepNext w:val="0"/>
              <w:spacing w:before="40" w:after="40" w:line="240" w:lineRule="auto"/>
            </w:pPr>
            <w:r>
              <w:rPr>
                <w:rFonts w:ascii="Arial" w:hAnsi="Arial" w:cs="Arial" w:eastAsia="Arial"/>
                <w:b w:val="0"/>
                <w:i w:val="0"/>
                <w:sz w:val="18"/>
              </w:rPr>
              <w:t>Data rooms, network rooms, cash and card areas</w:t>
            </w:r>
          </w:p>
        </w:tc>
        <w:tc>
          <w:tcPr>
            <w:tcW w:type="dxa" w:w="4464"/>
          </w:tcPr>
          <w:p>
            <w:pPr>
              <w:keepNext w:val="0"/>
              <w:spacing w:before="40" w:after="40" w:line="240" w:lineRule="auto"/>
            </w:pPr>
            <w:r>
              <w:rPr>
                <w:rFonts w:ascii="Arial" w:hAnsi="Arial" w:cs="Arial" w:eastAsia="Arial"/>
                <w:b w:val="0"/>
                <w:i w:val="0"/>
                <w:sz w:val="18"/>
              </w:rPr>
              <w:t>Named access only, two-factor entry, CCTV, access logs reviewed.</w:t>
            </w:r>
          </w:p>
        </w:tc>
      </w:tr>
      <w:tr>
        <w:trPr>
          <w:cantSplit w:val="true"/>
        </w:trPr>
        <w:tc>
          <w:tcPr>
            <w:tcW w:type="dxa" w:w="1584"/>
          </w:tcPr>
          <w:p>
            <w:pPr>
              <w:keepNext w:val="0"/>
              <w:spacing w:before="40" w:after="40" w:line="240" w:lineRule="auto"/>
            </w:pPr>
            <w:r>
              <w:rPr>
                <w:rFonts w:ascii="Arial" w:hAnsi="Arial" w:cs="Arial" w:eastAsia="Arial"/>
                <w:b w:val="0"/>
                <w:i w:val="0"/>
                <w:sz w:val="18"/>
              </w:rPr>
              <w:t>Critical</w:t>
            </w:r>
          </w:p>
        </w:tc>
        <w:tc>
          <w:tcPr>
            <w:tcW w:type="dxa" w:w="3168"/>
          </w:tcPr>
          <w:p>
            <w:pPr>
              <w:keepNext w:val="0"/>
              <w:spacing w:before="40" w:after="40" w:line="240" w:lineRule="auto"/>
            </w:pPr>
            <w:r>
              <w:rPr>
                <w:rFonts w:ascii="Arial" w:hAnsi="Arial" w:cs="Arial" w:eastAsia="Arial"/>
                <w:b w:val="0"/>
                <w:i w:val="0"/>
                <w:sz w:val="18"/>
              </w:rPr>
              <w:t>Data centre and disaster recovery site</w:t>
            </w:r>
          </w:p>
        </w:tc>
        <w:tc>
          <w:tcPr>
            <w:tcW w:type="dxa" w:w="4464"/>
          </w:tcPr>
          <w:p>
            <w:pPr>
              <w:keepNext w:val="0"/>
              <w:spacing w:before="40" w:after="40" w:line="240" w:lineRule="auto"/>
            </w:pPr>
            <w:r>
              <w:rPr>
                <w:rFonts w:ascii="Arial" w:hAnsi="Arial" w:cs="Arial" w:eastAsia="Arial"/>
                <w:b w:val="0"/>
                <w:i w:val="0"/>
                <w:sz w:val="18"/>
              </w:rPr>
              <w:t xml:space="preserve">Everything above, plus </w:t>
            </w:r>
            <w:sdt>
              <w:sdtPr>
                <w:alias w:val="anti-tailgating, 24x7 guarding, and environmental controls"/>
                <w:tag w:val="13.dc_extra"/>
              </w:sdtPr>
              <w:sdtContent>
                <w:r>
                  <w:rPr>
                    <w:rFonts w:ascii="Arial" w:hAnsi="Arial" w:cs="Arial" w:eastAsia="Arial"/>
                    <w:b w:val="0"/>
                    <w:i w:val="0"/>
                    <w:sz w:val="18"/>
                    <w:highlight w:val="yellow"/>
                  </w:rPr>
                  <w:t>&lt;anti-tailgating, 24x7 guarding, and environmental controls&gt;</w:t>
                </w:r>
              </w:sdtContent>
            </w:sdt>
            <w:r>
              <w:rPr>
                <w:rFonts w:ascii="Arial" w:hAnsi="Arial" w:cs="Arial" w:eastAsia="Arial"/>
                <w:b w:val="0"/>
                <w:i w:val="0"/>
                <w:sz w:val="18"/>
              </w:rPr>
              <w: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Entry controls</w:t>
      </w:r>
    </w:p>
    <w:p>
      <w:pPr>
        <w:pStyle w:val="ListBullet"/>
        <w:keepNext w:val="0"/>
        <w:spacing w:before="0" w:after="60" w:line="276" w:lineRule="auto"/>
        <w:ind w:left="432" w:hanging="288"/>
      </w:pPr>
      <w:r>
        <w:rPr>
          <w:rFonts w:ascii="Arial" w:hAnsi="Arial" w:cs="Arial" w:eastAsia="Arial"/>
          <w:b w:val="0"/>
          <w:i w:val="0"/>
          <w:sz w:val="21"/>
        </w:rPr>
        <w:t>Everyone wears a badge. Badges are issued, changed and removed through HR and the access process.</w:t>
      </w:r>
    </w:p>
    <w:p>
      <w:pPr>
        <w:pStyle w:val="ListBullet"/>
        <w:keepNext w:val="0"/>
        <w:spacing w:before="0" w:after="60" w:line="276" w:lineRule="auto"/>
        <w:ind w:left="432" w:hanging="288"/>
      </w:pPr>
      <w:r>
        <w:rPr>
          <w:rFonts w:ascii="Arial" w:hAnsi="Arial" w:cs="Arial" w:eastAsia="Arial"/>
          <w:b w:val="0"/>
          <w:i w:val="0"/>
          <w:sz w:val="21"/>
        </w:rPr>
        <w:t xml:space="preserve">Visitors are registered, given a visitor badge and escorted at all times in non-public areas. Records are kept for </w:t>
      </w:r>
      <w:sdt>
        <w:sdtPr>
          <w:alias w:val="at least a year"/>
          <w:tag w:val="13.visitor_period"/>
        </w:sdtPr>
        <w:sdtContent>
          <w:r>
            <w:rPr>
              <w:rFonts w:ascii="Arial" w:hAnsi="Arial" w:cs="Arial" w:eastAsia="Arial"/>
              <w:b w:val="0"/>
              <w:i w:val="0"/>
              <w:sz w:val="21"/>
              <w:highlight w:val="yellow"/>
            </w:rPr>
            <w:t>&lt;at least a year&gt;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 xml:space="preserve">Access to restricted and critical zones is reviewed </w:t>
      </w:r>
      <w:sdt>
        <w:sdtPr>
          <w:alias w:val="every quarter"/>
          <w:tag w:val="13.zone_review"/>
        </w:sdtPr>
        <w:sdtContent>
          <w:r>
            <w:rPr>
              <w:rFonts w:ascii="Arial" w:hAnsi="Arial" w:cs="Arial" w:eastAsia="Arial"/>
              <w:b w:val="0"/>
              <w:i w:val="0"/>
              <w:sz w:val="21"/>
              <w:highlight w:val="yellow"/>
            </w:rPr>
            <w:t>&lt;every quarter&gt;</w:t>
          </w:r>
        </w:sdtContent>
      </w:sdt>
      <w:r>
        <w:rPr>
          <w:rFonts w:ascii="Arial" w:hAnsi="Arial" w:cs="Arial" w:eastAsia="Arial"/>
          <w:b w:val="0"/>
          <w:i w:val="0"/>
          <w:sz w:val="21"/>
        </w:rPr>
        <w: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6. Monitoring and surveillance</w:t>
      </w:r>
    </w:p>
    <w:p>
      <w:pPr>
        <w:keepNext w:val="0"/>
        <w:spacing w:before="0" w:after="120" w:line="276" w:lineRule="auto"/>
      </w:pPr>
      <w:r>
        <w:rPr>
          <w:rFonts w:ascii="Arial" w:hAnsi="Arial" w:cs="Arial" w:eastAsia="Arial"/>
          <w:b w:val="0"/>
          <w:i w:val="0"/>
          <w:sz w:val="21"/>
        </w:rPr>
        <w:t xml:space="preserve">CCTV covers entrances, restricted zones and critical zones. Footage is kept for </w:t>
      </w:r>
      <w:sdt>
        <w:sdtPr>
          <w:alias w:val="at least 90 days"/>
          <w:tag w:val="13.cctv_period"/>
        </w:sdtPr>
        <w:sdtContent>
          <w:r>
            <w:rPr>
              <w:rFonts w:ascii="Arial" w:hAnsi="Arial" w:cs="Arial" w:eastAsia="Arial"/>
              <w:b w:val="0"/>
              <w:i w:val="0"/>
              <w:sz w:val="21"/>
              <w:highlight w:val="yellow"/>
            </w:rPr>
            <w:t>&lt;at least 90 days&gt;</w:t>
          </w:r>
        </w:sdtContent>
      </w:sdt>
      <w:r>
        <w:rPr>
          <w:rFonts w:ascii="Arial" w:hAnsi="Arial" w:cs="Arial" w:eastAsia="Arial"/>
          <w:b w:val="0"/>
          <w:i w:val="0"/>
          <w:sz w:val="21"/>
        </w:rPr>
        <w:t xml:space="preserve"> and can only be viewed by authorised people. Alarms and sensors are monitored </w:t>
      </w:r>
      <w:sdt>
        <w:sdtPr>
          <w:alias w:val="24 hours a day"/>
          <w:tag w:val="13.monitor"/>
        </w:sdtPr>
        <w:sdtContent>
          <w:r>
            <w:rPr>
              <w:rFonts w:ascii="Arial" w:hAnsi="Arial" w:cs="Arial" w:eastAsia="Arial"/>
              <w:b w:val="0"/>
              <w:i w:val="0"/>
              <w:sz w:val="21"/>
              <w:highlight w:val="yellow"/>
            </w:rPr>
            <w:t>&lt;24 hours a day&gt;</w:t>
          </w:r>
        </w:sdtContent>
      </w:sdt>
      <w:r>
        <w:rPr>
          <w:rFonts w:ascii="Arial" w:hAnsi="Arial" w:cs="Arial" w:eastAsia="Arial"/>
          <w:b w:val="0"/>
          <w:i w:val="0"/>
          <w:sz w:val="21"/>
        </w:rPr>
        <w:t>. Where ATMs are used, their location is tracked and tampering raises an alert.</w:t>
      </w:r>
    </w:p>
    <w:p>
      <w:pPr>
        <w:keepNext/>
        <w:spacing w:before="280" w:after="120" w:line="264" w:lineRule="auto"/>
      </w:pPr>
      <w:r>
        <w:rPr>
          <w:rFonts w:ascii="Arial" w:hAnsi="Arial" w:cs="Arial" w:eastAsia="Arial"/>
          <w:b/>
          <w:i w:val="0"/>
          <w:color w:val="1B253B"/>
          <w:sz w:val="28"/>
        </w:rPr>
        <w:t>7. Data centres and data rooms</w:t>
      </w:r>
    </w:p>
    <w:p>
      <w:pPr>
        <w:pStyle w:val="ListBullet"/>
        <w:keepNext w:val="0"/>
        <w:spacing w:before="0" w:after="60" w:line="276" w:lineRule="auto"/>
        <w:ind w:left="432" w:hanging="288"/>
      </w:pPr>
      <w:r>
        <w:rPr>
          <w:rFonts w:ascii="Arial" w:hAnsi="Arial" w:cs="Arial" w:eastAsia="Arial"/>
          <w:b w:val="0"/>
          <w:i w:val="0"/>
          <w:sz w:val="21"/>
        </w:rPr>
        <w:t>Entry is for named people only, and every entry and exit is recorded.</w:t>
      </w:r>
    </w:p>
    <w:p>
      <w:pPr>
        <w:pStyle w:val="ListBullet"/>
        <w:keepNext w:val="0"/>
        <w:spacing w:before="0" w:after="60" w:line="276" w:lineRule="auto"/>
        <w:ind w:left="432" w:hanging="288"/>
      </w:pPr>
      <w:r>
        <w:rPr>
          <w:rFonts w:ascii="Arial" w:hAnsi="Arial" w:cs="Arial" w:eastAsia="Arial"/>
          <w:b w:val="0"/>
          <w:i w:val="0"/>
          <w:sz w:val="21"/>
        </w:rPr>
        <w:t>Equipment is installed and removed only under change management (SAMA-18).</w:t>
      </w:r>
    </w:p>
    <w:p>
      <w:pPr>
        <w:pStyle w:val="ListBullet"/>
        <w:keepNext w:val="0"/>
        <w:spacing w:before="0" w:after="60" w:line="276" w:lineRule="auto"/>
        <w:ind w:left="432" w:hanging="288"/>
      </w:pPr>
      <w:r>
        <w:rPr>
          <w:rFonts w:ascii="Arial" w:hAnsi="Arial" w:cs="Arial" w:eastAsia="Arial"/>
          <w:b w:val="0"/>
          <w:i w:val="0"/>
          <w:sz w:val="21"/>
        </w:rPr>
        <w:t>Cabling, power and cooling are protected and monitored.</w:t>
      </w:r>
    </w:p>
    <w:p>
      <w:pPr>
        <w:keepNext w:val="0"/>
        <w:spacing w:before="0" w:after="40" w:line="240" w:lineRule="auto"/>
      </w:pPr>
    </w:p>
    <w:p>
      <w:pPr>
        <w:keepNext/>
        <w:spacing w:before="280" w:after="120" w:line="264" w:lineRule="auto"/>
      </w:pPr>
      <w:r>
        <w:rPr>
          <w:rFonts w:ascii="Arial" w:hAnsi="Arial" w:cs="Arial" w:eastAsia="Arial"/>
          <w:b/>
          <w:i w:val="0"/>
          <w:color w:val="1B253B"/>
          <w:sz w:val="28"/>
        </w:rPr>
        <w:t>8. Environmental protection</w:t>
      </w:r>
    </w:p>
    <w:p>
      <w:pPr>
        <w:keepNext w:val="0"/>
        <w:spacing w:before="0" w:after="120" w:line="276" w:lineRule="auto"/>
      </w:pPr>
      <w:r>
        <w:rPr>
          <w:rFonts w:ascii="Arial" w:hAnsi="Arial" w:cs="Arial" w:eastAsia="Arial"/>
          <w:b w:val="0"/>
          <w:i w:val="0"/>
          <w:sz w:val="21"/>
        </w:rPr>
        <w:t xml:space="preserve">Critical areas have fire detection and suppression, protection against water and flood, temperature and humidity monitoring, and backup power. They are tested </w:t>
      </w:r>
      <w:sdt>
        <w:sdtPr>
          <w:alias w:val="every year"/>
          <w:tag w:val="13.env_test"/>
        </w:sdtPr>
        <w:sdtContent>
          <w:r>
            <w:rPr>
              <w:rFonts w:ascii="Arial" w:hAnsi="Arial" w:cs="Arial" w:eastAsia="Arial"/>
              <w:b w:val="0"/>
              <w:i w:val="0"/>
              <w:sz w:val="21"/>
              <w:highlight w:val="yellow"/>
            </w:rPr>
            <w:t>&lt;every year&gt;</w:t>
          </w:r>
        </w:sdtContent>
      </w:sdt>
      <w:r>
        <w:rPr>
          <w:rFonts w:ascii="Arial" w:hAnsi="Arial" w:cs="Arial" w:eastAsia="Arial"/>
          <w:b w:val="0"/>
          <w:i w:val="0"/>
          <w:sz w:val="21"/>
        </w:rPr>
        <w:t xml:space="preserve"> and the results recorded.</w:t>
      </w:r>
    </w:p>
    <w:p>
      <w:pPr>
        <w:keepNext/>
        <w:spacing w:before="280" w:after="120" w:line="264" w:lineRule="auto"/>
      </w:pPr>
      <w:r>
        <w:rPr>
          <w:rFonts w:ascii="Arial" w:hAnsi="Arial" w:cs="Arial" w:eastAsia="Arial"/>
          <w:b/>
          <w:i w:val="0"/>
          <w:color w:val="1B253B"/>
          <w:sz w:val="28"/>
        </w:rPr>
        <w:t>9. Protecting assets through their life</w:t>
      </w:r>
    </w:p>
    <w:p>
      <w:pPr>
        <w:keepNext w:val="0"/>
        <w:spacing w:before="0" w:after="120" w:line="276" w:lineRule="auto"/>
      </w:pPr>
      <w:r>
        <w:rPr>
          <w:rFonts w:ascii="Arial" w:hAnsi="Arial" w:cs="Arial" w:eastAsia="Arial"/>
          <w:b w:val="0"/>
          <w:i w:val="0"/>
          <w:sz w:val="21"/>
        </w:rPr>
        <w:t>Assets are protected throughout their life, from delivery to disposal, against unauthorised access and intended or unintended data leakage. Transport of media and equipment is by approved, tracked means. Disposal follows the secure disposal standard (SAMA-22).</w:t>
      </w:r>
    </w:p>
    <w:p>
      <w:pPr>
        <w:keepNext/>
        <w:spacing w:before="280" w:after="120" w:line="264" w:lineRule="auto"/>
      </w:pPr>
      <w:r>
        <w:rPr>
          <w:rFonts w:ascii="Arial" w:hAnsi="Arial" w:cs="Arial" w:eastAsia="Arial"/>
          <w:b/>
          <w:i w:val="0"/>
          <w:color w:val="1B253B"/>
          <w:sz w:val="28"/>
        </w:rPr>
        <w:t>10.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13.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Physical access reviews done on time</w:t>
            </w:r>
          </w:p>
        </w:tc>
        <w:tc>
          <w:tcPr>
            <w:tcW w:type="dxa" w:w="2592"/>
          </w:tcPr>
          <w:p>
            <w:pPr>
              <w:keepNext w:val="0"/>
              <w:spacing w:before="40" w:after="40" w:line="240" w:lineRule="auto"/>
            </w:pPr>
            <w:sdt>
              <w:sdtPr>
                <w:alias w:val="100%"/>
                <w:tag w:val="13.t4.r0.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Physical security incidents</w:t>
            </w:r>
          </w:p>
        </w:tc>
        <w:tc>
          <w:tcPr>
            <w:tcW w:type="dxa" w:w="2592"/>
          </w:tcPr>
          <w:p>
            <w:pPr>
              <w:keepNext w:val="0"/>
              <w:spacing w:before="40" w:after="40" w:line="240" w:lineRule="auto"/>
            </w:pPr>
            <w:sdt>
              <w:sdtPr>
                <w:alias w:val="None unresolved"/>
                <w:tag w:val="13.t4.r1.c1"/>
              </w:sdtPr>
              <w:sdtContent>
                <w:r>
                  <w:rPr>
                    <w:rFonts w:ascii="Arial" w:hAnsi="Arial" w:cs="Arial" w:eastAsia="Arial"/>
                    <w:b w:val="0"/>
                    <w:i w:val="0"/>
                    <w:sz w:val="18"/>
                    <w:highlight w:val="yellow"/>
                  </w:rPr>
                  <w:t>&lt;None unresolved&gt;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11.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12.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13.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3.3.2.1</w:t>
            </w:r>
          </w:p>
        </w:tc>
        <w:tc>
          <w:tcPr>
            <w:tcW w:type="dxa" w:w="7920"/>
          </w:tcPr>
          <w:p>
            <w:pPr>
              <w:keepNext w:val="0"/>
              <w:spacing w:before="40" w:after="40" w:line="240" w:lineRule="auto"/>
            </w:pPr>
            <w:r>
              <w:rPr>
                <w:rFonts w:ascii="Arial" w:hAnsi="Arial" w:cs="Arial" w:eastAsia="Arial"/>
                <w:b w:val="0"/>
                <w:i w:val="0"/>
                <w:sz w:val="18"/>
              </w:rPr>
              <w:t>Physical security process defined, approved and implemented</w:t>
            </w:r>
          </w:p>
        </w:tc>
      </w:tr>
      <w:tr>
        <w:trPr>
          <w:cantSplit w:val="true"/>
        </w:trPr>
        <w:tc>
          <w:tcPr>
            <w:tcW w:type="dxa" w:w="1296"/>
          </w:tcPr>
          <w:p>
            <w:pPr>
              <w:keepNext w:val="0"/>
              <w:spacing w:before="40" w:after="40" w:line="240" w:lineRule="auto"/>
            </w:pPr>
            <w:r>
              <w:rPr>
                <w:rFonts w:ascii="Arial" w:hAnsi="Arial" w:cs="Arial" w:eastAsia="Arial"/>
                <w:b w:val="0"/>
                <w:i w:val="0"/>
                <w:sz w:val="18"/>
              </w:rPr>
              <w:t>3.3.2.2</w:t>
            </w:r>
          </w:p>
        </w:tc>
        <w:tc>
          <w:tcPr>
            <w:tcW w:type="dxa" w:w="7920"/>
          </w:tcPr>
          <w:p>
            <w:pPr>
              <w:keepNext w:val="0"/>
              <w:spacing w:before="40" w:after="40" w:line="240" w:lineRule="auto"/>
            </w:pPr>
            <w:r>
              <w:rPr>
                <w:rFonts w:ascii="Arial" w:hAnsi="Arial" w:cs="Arial" w:eastAsia="Arial"/>
                <w:b w:val="0"/>
                <w:i w:val="0"/>
                <w:sz w:val="18"/>
              </w:rPr>
              <w:t>Effectiveness monitored,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3.3.2.3</w:t>
            </w:r>
          </w:p>
        </w:tc>
        <w:tc>
          <w:tcPr>
            <w:tcW w:type="dxa" w:w="7920"/>
          </w:tcPr>
          <w:p>
            <w:pPr>
              <w:keepNext w:val="0"/>
              <w:spacing w:before="40" w:after="40" w:line="240" w:lineRule="auto"/>
            </w:pPr>
            <w:r>
              <w:rPr>
                <w:rFonts w:ascii="Arial" w:hAnsi="Arial" w:cs="Arial" w:eastAsia="Arial"/>
                <w:b w:val="0"/>
                <w:i w:val="0"/>
                <w:sz w:val="18"/>
              </w:rPr>
              <w:t>Entry controls; surveillance; data centres and rooms; environment; protection through the asset's life</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Physical Security</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 Security</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